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
          <w:bCs/>
          <w:spacing w:val="20"/>
          <w:sz w:val="52"/>
          <w:szCs w:val="52"/>
        </w:rPr>
      </w:pPr>
      <w:bookmarkStart w:id="28" w:name="_GoBack"/>
      <w:bookmarkEnd w:id="28"/>
    </w:p>
    <w:p>
      <w:pPr>
        <w:jc w:val="center"/>
        <w:rPr>
          <w:rFonts w:ascii="黑体" w:hAnsi="华文中宋" w:eastAsia="黑体"/>
          <w:b/>
          <w:bCs/>
          <w:spacing w:val="20"/>
          <w:sz w:val="52"/>
          <w:szCs w:val="52"/>
        </w:rPr>
      </w:pPr>
    </w:p>
    <w:p>
      <w:pPr>
        <w:jc w:val="center"/>
        <w:rPr>
          <w:rFonts w:ascii="黑体" w:hAnsi="华文中宋" w:eastAsia="黑体"/>
          <w:b/>
          <w:bCs/>
          <w:spacing w:val="20"/>
          <w:sz w:val="52"/>
          <w:szCs w:val="52"/>
        </w:rPr>
      </w:pPr>
      <w:r>
        <w:rPr>
          <w:rFonts w:hint="eastAsia" w:ascii="黑体" w:hAnsi="华文中宋" w:eastAsia="黑体"/>
          <w:b/>
          <w:bCs/>
          <w:spacing w:val="20"/>
          <w:sz w:val="52"/>
          <w:szCs w:val="52"/>
        </w:rPr>
        <w:t>阳澄湖半岛各</w:t>
      </w:r>
      <w:r>
        <w:rPr>
          <w:rFonts w:ascii="黑体" w:hAnsi="华文中宋" w:eastAsia="黑体"/>
          <w:b/>
          <w:bCs/>
          <w:spacing w:val="20"/>
          <w:sz w:val="52"/>
          <w:szCs w:val="52"/>
        </w:rPr>
        <w:t>游客中心</w:t>
      </w:r>
      <w:r>
        <w:rPr>
          <w:rFonts w:hint="eastAsia" w:ascii="黑体" w:hAnsi="华文中宋" w:eastAsia="黑体"/>
          <w:b/>
          <w:bCs/>
          <w:spacing w:val="20"/>
          <w:sz w:val="52"/>
          <w:szCs w:val="52"/>
        </w:rPr>
        <w:t>及咨询点</w:t>
      </w:r>
    </w:p>
    <w:p>
      <w:pPr>
        <w:jc w:val="center"/>
        <w:rPr>
          <w:rFonts w:ascii="黑体" w:hAnsi="华文中宋" w:eastAsia="黑体" w:cs="Times New Roman"/>
          <w:bCs/>
          <w:spacing w:val="20"/>
          <w:sz w:val="72"/>
          <w:szCs w:val="72"/>
        </w:rPr>
      </w:pPr>
      <w:r>
        <w:rPr>
          <w:rFonts w:hint="eastAsia" w:ascii="黑体" w:hAnsi="华文中宋" w:eastAsia="黑体"/>
          <w:b/>
          <w:bCs/>
          <w:spacing w:val="20"/>
          <w:sz w:val="52"/>
          <w:szCs w:val="52"/>
        </w:rPr>
        <w:t>智能化系统设备维保项目</w:t>
      </w:r>
    </w:p>
    <w:p>
      <w:pPr>
        <w:rPr>
          <w:rFonts w:ascii="华文中宋" w:hAnsi="华文中宋" w:eastAsia="华文中宋" w:cs="Times New Roman"/>
          <w:bCs/>
          <w:sz w:val="30"/>
          <w:szCs w:val="20"/>
        </w:rPr>
      </w:pPr>
    </w:p>
    <w:p>
      <w:pPr>
        <w:rPr>
          <w:rFonts w:ascii="华文中宋" w:hAnsi="华文中宋" w:eastAsia="华文中宋" w:cs="Times New Roman"/>
          <w:bCs/>
          <w:sz w:val="30"/>
          <w:szCs w:val="20"/>
        </w:rPr>
      </w:pPr>
    </w:p>
    <w:p>
      <w:pPr>
        <w:rPr>
          <w:rFonts w:ascii="华文中宋" w:hAnsi="华文中宋" w:eastAsia="华文中宋" w:cs="Times New Roman"/>
          <w:bCs/>
          <w:sz w:val="30"/>
          <w:szCs w:val="20"/>
        </w:rPr>
      </w:pPr>
    </w:p>
    <w:p>
      <w:pPr>
        <w:rPr>
          <w:rFonts w:ascii="华文中宋" w:hAnsi="华文中宋" w:eastAsia="华文中宋" w:cs="Times New Roman"/>
          <w:bCs/>
          <w:sz w:val="30"/>
          <w:szCs w:val="20"/>
        </w:rPr>
      </w:pPr>
    </w:p>
    <w:p>
      <w:pPr>
        <w:jc w:val="center"/>
        <w:rPr>
          <w:rFonts w:ascii="华文中宋" w:hAnsi="华文中宋" w:eastAsia="华文中宋" w:cs="Times New Roman"/>
          <w:bCs/>
          <w:spacing w:val="20"/>
          <w:sz w:val="52"/>
          <w:szCs w:val="52"/>
        </w:rPr>
      </w:pPr>
      <w:r>
        <w:rPr>
          <w:rFonts w:ascii="黑体" w:hAnsi="华文中宋" w:eastAsia="黑体" w:cs="Times New Roman"/>
          <w:bCs/>
          <w:spacing w:val="20"/>
          <w:sz w:val="52"/>
          <w:szCs w:val="52"/>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0" cy="0"/>
                <wp:effectExtent l="0" t="0" r="0" b="0"/>
                <wp:wrapNone/>
                <wp:docPr id="1176" name="直接连接符 1176"/>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15.6pt;height:0pt;width:0pt;z-index:251659264;mso-width-relative:page;mso-height-relative:page;" filled="f" stroked="t" coordsize="21600,21600" o:allowincell="f" o:gfxdata="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j5d1/UAAAACQEA&#10;AA8AAAAAAAAAAQAgAAAAIgAAAGRycy9kb3ducmV2LnhtbFBLAQIUABQAAAAIAIdO4kCeVB565QEA&#10;ALgDAAAOAAAAAAAAAAEAIAAAACMBAABkcnMvZTJvRG9jLnhtbFBLBQYAAAAABgAGAFkBAAB6BQAA&#10;AAA=&#10;">
                <v:fill on="f" focussize="0,0"/>
                <v:stroke color="#000000" joinstyle="round"/>
                <v:imagedata o:title=""/>
                <o:lock v:ext="edit" aspectratio="f"/>
              </v:line>
            </w:pict>
          </mc:Fallback>
        </mc:AlternateContent>
      </w:r>
      <w:r>
        <w:rPr>
          <w:rFonts w:hint="eastAsia" w:ascii="黑体" w:hAnsi="华文中宋" w:eastAsia="黑体" w:cs="Times New Roman"/>
          <w:bCs/>
          <w:spacing w:val="20"/>
          <w:sz w:val="52"/>
          <w:szCs w:val="52"/>
        </w:rPr>
        <w:t>项  目 需  求</w:t>
      </w:r>
    </w:p>
    <w:p>
      <w:pPr>
        <w:rPr>
          <w:rFonts w:ascii="华文中宋" w:hAnsi="华文中宋" w:eastAsia="华文中宋" w:cs="Times New Roman"/>
          <w:bCs/>
          <w:sz w:val="30"/>
          <w:szCs w:val="20"/>
        </w:rPr>
      </w:pPr>
    </w:p>
    <w:p>
      <w:pPr>
        <w:jc w:val="left"/>
        <w:rPr>
          <w:rFonts w:ascii="华文中宋" w:hAnsi="华文中宋" w:eastAsia="华文中宋" w:cs="Times New Roman"/>
          <w:bCs/>
          <w:sz w:val="30"/>
          <w:szCs w:val="20"/>
        </w:rPr>
      </w:pPr>
    </w:p>
    <w:p>
      <w:pPr>
        <w:jc w:val="left"/>
        <w:rPr>
          <w:rFonts w:ascii="华文中宋" w:hAnsi="华文中宋" w:eastAsia="华文中宋" w:cs="Times New Roman"/>
          <w:bCs/>
          <w:sz w:val="30"/>
          <w:szCs w:val="20"/>
        </w:rPr>
      </w:pPr>
    </w:p>
    <w:p>
      <w:pPr>
        <w:jc w:val="left"/>
        <w:rPr>
          <w:rFonts w:ascii="华文中宋" w:hAnsi="华文中宋" w:eastAsia="华文中宋" w:cs="Times New Roman"/>
          <w:bCs/>
          <w:sz w:val="30"/>
          <w:szCs w:val="20"/>
        </w:rPr>
      </w:pPr>
    </w:p>
    <w:p>
      <w:pPr>
        <w:jc w:val="left"/>
        <w:rPr>
          <w:rFonts w:ascii="华文中宋" w:hAnsi="华文中宋" w:eastAsia="华文中宋" w:cs="Times New Roman"/>
          <w:bCs/>
          <w:sz w:val="30"/>
          <w:szCs w:val="20"/>
        </w:rPr>
      </w:pPr>
    </w:p>
    <w:p>
      <w:pPr>
        <w:jc w:val="left"/>
        <w:rPr>
          <w:rFonts w:ascii="华文中宋" w:hAnsi="华文中宋" w:eastAsia="华文中宋" w:cs="Times New Roman"/>
          <w:bCs/>
          <w:sz w:val="30"/>
          <w:szCs w:val="20"/>
        </w:rPr>
      </w:pPr>
    </w:p>
    <w:p>
      <w:pPr>
        <w:jc w:val="center"/>
        <w:rPr>
          <w:rFonts w:ascii="黑体" w:hAnsi="华文中宋" w:eastAsia="黑体" w:cs="Times New Roman"/>
          <w:bCs/>
          <w:sz w:val="30"/>
          <w:szCs w:val="30"/>
        </w:rPr>
      </w:pPr>
    </w:p>
    <w:p>
      <w:pPr>
        <w:jc w:val="center"/>
        <w:rPr>
          <w:rFonts w:ascii="黑体" w:hAnsi="华文中宋" w:eastAsia="黑体" w:cs="Times New Roman"/>
          <w:bCs/>
          <w:sz w:val="30"/>
          <w:szCs w:val="30"/>
        </w:rPr>
      </w:pPr>
      <w:r>
        <w:rPr>
          <w:rFonts w:hint="eastAsia" w:ascii="黑体" w:hAnsi="华文中宋" w:eastAsia="黑体" w:cs="Times New Roman"/>
          <w:bCs/>
          <w:sz w:val="30"/>
          <w:szCs w:val="30"/>
        </w:rPr>
        <w:t>二○二一年三月</w:t>
      </w:r>
    </w:p>
    <w:p/>
    <w:p/>
    <w:p/>
    <w:p>
      <w:pPr>
        <w:widowControl/>
        <w:spacing w:line="300" w:lineRule="atLeast"/>
        <w:rPr>
          <w:rFonts w:ascii="微软雅黑" w:hAnsi="微软雅黑" w:eastAsia="微软雅黑" w:cs="宋体"/>
          <w:b/>
          <w:bCs/>
          <w:color w:val="333333"/>
          <w:kern w:val="0"/>
          <w:sz w:val="33"/>
          <w:szCs w:val="33"/>
        </w:rPr>
      </w:pPr>
    </w:p>
    <w:p>
      <w:pPr>
        <w:pStyle w:val="2"/>
        <w:jc w:val="center"/>
        <w:rPr>
          <w:rFonts w:ascii="楷体_GB2312" w:hAnsi="楷体_GB2312" w:eastAsia="宋体" w:cs="宋体"/>
          <w:bCs w:val="0"/>
          <w:kern w:val="0"/>
          <w:sz w:val="32"/>
          <w:szCs w:val="32"/>
        </w:rPr>
      </w:pPr>
      <w:bookmarkStart w:id="0" w:name="_Toc462247490"/>
      <w:r>
        <w:rPr>
          <w:rFonts w:ascii="楷体_GB2312" w:hAnsi="楷体_GB2312" w:eastAsia="宋体" w:cs="宋体"/>
          <w:b w:val="0"/>
          <w:bCs w:val="0"/>
          <w:kern w:val="0"/>
          <w:sz w:val="32"/>
          <w:szCs w:val="32"/>
        </w:rPr>
        <w:t>第一章项目介绍</w:t>
      </w:r>
      <w:bookmarkEnd w:id="0"/>
    </w:p>
    <w:p>
      <w:pPr>
        <w:pStyle w:val="3"/>
        <w:rPr>
          <w:rFonts w:ascii="楷体_GB2312" w:hAnsi="楷体_GB2312" w:eastAsia="宋体" w:cs="宋体"/>
          <w:b w:val="0"/>
          <w:bCs w:val="0"/>
          <w:kern w:val="0"/>
          <w:sz w:val="21"/>
          <w:szCs w:val="21"/>
        </w:rPr>
      </w:pPr>
      <w:bookmarkStart w:id="1" w:name="_Toc462247491"/>
      <w:r>
        <w:rPr>
          <w:rFonts w:ascii="楷体_GB2312" w:hAnsi="楷体_GB2312" w:eastAsia="宋体" w:cs="宋体"/>
          <w:b w:val="0"/>
          <w:bCs w:val="0"/>
          <w:kern w:val="0"/>
          <w:sz w:val="21"/>
          <w:szCs w:val="21"/>
        </w:rPr>
        <w:t>一、</w:t>
      </w:r>
      <w:r>
        <w:rPr>
          <w:rFonts w:hint="eastAsia" w:ascii="楷体_GB2312" w:hAnsi="楷体_GB2312" w:eastAsia="宋体" w:cs="宋体"/>
          <w:b w:val="0"/>
          <w:bCs w:val="0"/>
          <w:kern w:val="0"/>
          <w:sz w:val="21"/>
          <w:szCs w:val="21"/>
        </w:rPr>
        <w:t>项目总体介绍</w:t>
      </w:r>
      <w:bookmarkEnd w:id="1"/>
    </w:p>
    <w:p>
      <w:pPr>
        <w:pStyle w:val="5"/>
        <w:spacing w:line="360" w:lineRule="auto"/>
        <w:ind w:firstLineChars="200"/>
        <w:rPr>
          <w:rFonts w:ascii="楷体_GB2312" w:hAnsi="楷体_GB2312" w:cs="宋体"/>
          <w:kern w:val="0"/>
          <w:szCs w:val="21"/>
        </w:rPr>
      </w:pPr>
      <w:r>
        <w:rPr>
          <w:rFonts w:hint="eastAsia" w:ascii="楷体_GB2312" w:hAnsi="楷体_GB2312" w:cs="宋体"/>
          <w:kern w:val="0"/>
          <w:szCs w:val="21"/>
        </w:rPr>
        <w:t>苏州阳澄湖半岛</w:t>
      </w:r>
      <w:r>
        <w:rPr>
          <w:rFonts w:ascii="楷体_GB2312" w:hAnsi="楷体_GB2312" w:cs="宋体"/>
          <w:kern w:val="0"/>
          <w:szCs w:val="21"/>
        </w:rPr>
        <w:t>星华街游客中心、仙樱湖公园游客中心、海螺广场游客中心</w:t>
      </w:r>
      <w:r>
        <w:rPr>
          <w:rFonts w:hint="eastAsia" w:ascii="楷体_GB2312" w:hAnsi="楷体_GB2312" w:cs="宋体"/>
          <w:kern w:val="0"/>
          <w:szCs w:val="21"/>
        </w:rPr>
        <w:t>、莲池湖公园游客中心、天主教堂</w:t>
      </w:r>
      <w:r>
        <w:rPr>
          <w:rFonts w:ascii="楷体_GB2312" w:hAnsi="楷体_GB2312" w:cs="宋体"/>
          <w:kern w:val="0"/>
          <w:szCs w:val="21"/>
        </w:rPr>
        <w:t>咨询点</w:t>
      </w:r>
      <w:r>
        <w:rPr>
          <w:rFonts w:hint="eastAsia" w:ascii="楷体_GB2312" w:hAnsi="楷体_GB2312" w:cs="宋体"/>
          <w:kern w:val="0"/>
          <w:szCs w:val="21"/>
        </w:rPr>
        <w:t>、重元寺咨询点、樱园咨询点、航模营地、迷宫乐园的智能化设施维修保养项目主要包括以下几个系统：</w:t>
      </w:r>
    </w:p>
    <w:p>
      <w:pPr>
        <w:pStyle w:val="5"/>
        <w:spacing w:line="360" w:lineRule="auto"/>
        <w:ind w:firstLine="0"/>
        <w:rPr>
          <w:rFonts w:ascii="楷体_GB2312" w:hAnsi="楷体_GB2312" w:cs="宋体"/>
          <w:kern w:val="0"/>
          <w:szCs w:val="21"/>
        </w:rPr>
      </w:pPr>
    </w:p>
    <w:p>
      <w:pPr>
        <w:pStyle w:val="5"/>
        <w:spacing w:line="480" w:lineRule="auto"/>
        <w:ind w:firstLineChars="200"/>
        <w:rPr>
          <w:rFonts w:ascii="楷体_GB2312" w:hAnsi="楷体_GB2312" w:cs="宋体"/>
          <w:kern w:val="0"/>
          <w:szCs w:val="21"/>
        </w:rPr>
      </w:pPr>
      <w:r>
        <w:rPr>
          <w:rFonts w:hint="eastAsia" w:ascii="楷体_GB2312" w:hAnsi="楷体_GB2312" w:cs="宋体"/>
          <w:kern w:val="0"/>
          <w:szCs w:val="21"/>
        </w:rPr>
        <w:t>1、综合布线数据系统</w:t>
      </w:r>
    </w:p>
    <w:p>
      <w:pPr>
        <w:pStyle w:val="5"/>
        <w:spacing w:line="480" w:lineRule="auto"/>
        <w:ind w:firstLineChars="200"/>
        <w:rPr>
          <w:rFonts w:ascii="楷体_GB2312" w:hAnsi="楷体_GB2312" w:cs="宋体"/>
          <w:kern w:val="0"/>
          <w:szCs w:val="21"/>
        </w:rPr>
      </w:pPr>
      <w:r>
        <w:rPr>
          <w:rFonts w:ascii="楷体_GB2312" w:hAnsi="楷体_GB2312" w:cs="宋体"/>
          <w:kern w:val="0"/>
          <w:szCs w:val="21"/>
        </w:rPr>
        <w:t>2、综合布线语音系统</w:t>
      </w:r>
    </w:p>
    <w:p>
      <w:pPr>
        <w:pStyle w:val="5"/>
        <w:spacing w:line="480" w:lineRule="auto"/>
        <w:ind w:firstLineChars="200"/>
        <w:rPr>
          <w:rFonts w:ascii="楷体_GB2312" w:hAnsi="楷体_GB2312" w:cs="宋体"/>
          <w:kern w:val="0"/>
          <w:szCs w:val="21"/>
        </w:rPr>
      </w:pPr>
      <w:r>
        <w:rPr>
          <w:rFonts w:hint="eastAsia" w:ascii="楷体_GB2312" w:hAnsi="楷体_GB2312" w:cs="宋体"/>
          <w:kern w:val="0"/>
          <w:szCs w:val="21"/>
        </w:rPr>
        <w:t>3、监控系统</w:t>
      </w:r>
    </w:p>
    <w:p>
      <w:pPr>
        <w:pStyle w:val="5"/>
        <w:spacing w:line="480" w:lineRule="auto"/>
        <w:ind w:firstLineChars="200"/>
        <w:rPr>
          <w:rFonts w:ascii="楷体_GB2312" w:hAnsi="楷体_GB2312" w:cs="宋体"/>
          <w:kern w:val="0"/>
          <w:szCs w:val="21"/>
        </w:rPr>
      </w:pPr>
      <w:r>
        <w:rPr>
          <w:rFonts w:ascii="楷体_GB2312" w:hAnsi="楷体_GB2312" w:cs="宋体"/>
          <w:kern w:val="0"/>
          <w:szCs w:val="21"/>
        </w:rPr>
        <w:t>4、广播系统</w:t>
      </w:r>
    </w:p>
    <w:p>
      <w:pPr>
        <w:pStyle w:val="5"/>
        <w:spacing w:line="480" w:lineRule="auto"/>
        <w:ind w:firstLineChars="200"/>
        <w:rPr>
          <w:rFonts w:ascii="楷体_GB2312" w:hAnsi="楷体_GB2312" w:cs="宋体"/>
          <w:kern w:val="0"/>
          <w:szCs w:val="21"/>
        </w:rPr>
      </w:pPr>
      <w:r>
        <w:rPr>
          <w:rFonts w:hint="eastAsia" w:ascii="楷体_GB2312" w:hAnsi="楷体_GB2312" w:cs="宋体"/>
          <w:kern w:val="0"/>
          <w:szCs w:val="21"/>
        </w:rPr>
        <w:t>5、门禁系统</w:t>
      </w:r>
    </w:p>
    <w:p>
      <w:pPr>
        <w:pStyle w:val="5"/>
        <w:spacing w:line="480" w:lineRule="auto"/>
        <w:ind w:firstLineChars="200"/>
        <w:rPr>
          <w:rFonts w:ascii="楷体_GB2312" w:hAnsi="楷体_GB2312" w:cs="宋体"/>
          <w:kern w:val="0"/>
          <w:szCs w:val="21"/>
        </w:rPr>
      </w:pPr>
      <w:r>
        <w:rPr>
          <w:rFonts w:ascii="楷体_GB2312" w:hAnsi="楷体_GB2312" w:cs="宋体"/>
          <w:kern w:val="0"/>
          <w:szCs w:val="21"/>
        </w:rPr>
        <w:t>6、停车场管理系统</w:t>
      </w:r>
    </w:p>
    <w:p>
      <w:pPr>
        <w:pStyle w:val="5"/>
        <w:spacing w:line="480" w:lineRule="auto"/>
        <w:ind w:firstLineChars="200"/>
        <w:rPr>
          <w:rFonts w:ascii="楷体_GB2312" w:hAnsi="楷体_GB2312" w:cs="宋体"/>
          <w:kern w:val="0"/>
          <w:szCs w:val="21"/>
        </w:rPr>
      </w:pPr>
      <w:r>
        <w:rPr>
          <w:rFonts w:ascii="楷体_GB2312" w:hAnsi="楷体_GB2312" w:cs="宋体"/>
          <w:kern w:val="0"/>
          <w:szCs w:val="21"/>
        </w:rPr>
        <w:t>7、网络系统</w:t>
      </w:r>
    </w:p>
    <w:p>
      <w:pPr>
        <w:pStyle w:val="5"/>
        <w:spacing w:line="480" w:lineRule="auto"/>
        <w:ind w:firstLineChars="200"/>
        <w:rPr>
          <w:rFonts w:ascii="楷体_GB2312" w:hAnsi="楷体_GB2312" w:cs="宋体"/>
          <w:kern w:val="0"/>
          <w:szCs w:val="21"/>
        </w:rPr>
      </w:pPr>
      <w:r>
        <w:rPr>
          <w:rFonts w:ascii="楷体_GB2312" w:hAnsi="楷体_GB2312" w:cs="宋体"/>
          <w:kern w:val="0"/>
          <w:szCs w:val="21"/>
        </w:rPr>
        <w:t>8、不间断电源系统</w:t>
      </w:r>
    </w:p>
    <w:p>
      <w:pPr>
        <w:pStyle w:val="5"/>
        <w:spacing w:line="480" w:lineRule="auto"/>
        <w:ind w:firstLineChars="200"/>
        <w:rPr>
          <w:rFonts w:ascii="楷体_GB2312" w:hAnsi="楷体_GB2312" w:cs="宋体"/>
          <w:kern w:val="0"/>
          <w:szCs w:val="21"/>
        </w:rPr>
      </w:pPr>
      <w:r>
        <w:rPr>
          <w:rFonts w:ascii="楷体_GB2312" w:hAnsi="楷体_GB2312" w:cs="宋体"/>
          <w:kern w:val="0"/>
          <w:szCs w:val="21"/>
        </w:rPr>
        <w:t>9、大屏幕显示系统</w:t>
      </w:r>
    </w:p>
    <w:p>
      <w:pPr>
        <w:pStyle w:val="5"/>
        <w:spacing w:line="480" w:lineRule="auto"/>
        <w:ind w:firstLineChars="200"/>
        <w:rPr>
          <w:rFonts w:ascii="楷体_GB2312" w:hAnsi="楷体_GB2312" w:cs="宋体"/>
          <w:kern w:val="0"/>
          <w:szCs w:val="21"/>
        </w:rPr>
      </w:pPr>
      <w:r>
        <w:rPr>
          <w:rFonts w:ascii="楷体_GB2312" w:hAnsi="楷体_GB2312" w:cs="宋体"/>
          <w:kern w:val="0"/>
          <w:szCs w:val="21"/>
        </w:rPr>
        <w:t>10、</w:t>
      </w:r>
      <w:r>
        <w:rPr>
          <w:rFonts w:hint="eastAsia" w:ascii="楷体_GB2312" w:hAnsi="楷体_GB2312" w:cs="宋体"/>
          <w:kern w:val="0"/>
          <w:szCs w:val="21"/>
        </w:rPr>
        <w:t>规划展示</w:t>
      </w:r>
      <w:r>
        <w:rPr>
          <w:rFonts w:ascii="楷体_GB2312" w:hAnsi="楷体_GB2312" w:cs="宋体"/>
          <w:kern w:val="0"/>
          <w:szCs w:val="21"/>
        </w:rPr>
        <w:t>厅</w:t>
      </w:r>
      <w:bookmarkStart w:id="2" w:name="_Toc462247493"/>
    </w:p>
    <w:p>
      <w:pPr>
        <w:pStyle w:val="2"/>
        <w:jc w:val="center"/>
        <w:rPr>
          <w:rFonts w:ascii="楷体_GB2312" w:hAnsi="楷体_GB2312" w:eastAsia="宋体" w:cs="宋体"/>
          <w:b w:val="0"/>
          <w:bCs w:val="0"/>
          <w:kern w:val="0"/>
          <w:sz w:val="32"/>
          <w:szCs w:val="32"/>
        </w:rPr>
      </w:pPr>
      <w:r>
        <w:rPr>
          <w:rFonts w:ascii="楷体_GB2312" w:hAnsi="楷体_GB2312" w:eastAsia="宋体" w:cs="宋体"/>
          <w:b w:val="0"/>
          <w:bCs w:val="0"/>
          <w:kern w:val="0"/>
          <w:sz w:val="32"/>
          <w:szCs w:val="32"/>
        </w:rPr>
        <w:t>第</w:t>
      </w:r>
      <w:r>
        <w:rPr>
          <w:rFonts w:hint="eastAsia" w:ascii="楷体_GB2312" w:hAnsi="楷体_GB2312" w:eastAsia="宋体" w:cs="宋体"/>
          <w:b w:val="0"/>
          <w:bCs w:val="0"/>
          <w:kern w:val="0"/>
          <w:sz w:val="32"/>
          <w:szCs w:val="32"/>
        </w:rPr>
        <w:t>二</w:t>
      </w:r>
      <w:r>
        <w:rPr>
          <w:rFonts w:ascii="楷体_GB2312" w:hAnsi="楷体_GB2312" w:eastAsia="宋体" w:cs="宋体"/>
          <w:b w:val="0"/>
          <w:bCs w:val="0"/>
          <w:kern w:val="0"/>
          <w:sz w:val="32"/>
          <w:szCs w:val="32"/>
        </w:rPr>
        <w:t>章</w:t>
      </w:r>
      <w:r>
        <w:rPr>
          <w:rFonts w:hint="eastAsia" w:ascii="楷体_GB2312" w:hAnsi="楷体_GB2312" w:eastAsia="宋体" w:cs="宋体"/>
          <w:b w:val="0"/>
          <w:bCs w:val="0"/>
          <w:kern w:val="0"/>
          <w:sz w:val="32"/>
          <w:szCs w:val="32"/>
        </w:rPr>
        <w:t>项目技术要求及说明</w:t>
      </w:r>
      <w:bookmarkEnd w:id="2"/>
    </w:p>
    <w:p>
      <w:bookmarkStart w:id="3" w:name="_Toc462247494"/>
      <w:r>
        <w:t>一、</w:t>
      </w:r>
      <w:r>
        <w:rPr>
          <w:rFonts w:hint="eastAsia"/>
        </w:rPr>
        <w:t>星华街游客中心</w:t>
      </w:r>
      <w:r>
        <w:t>维保项目清单</w:t>
      </w:r>
      <w:bookmarkEnd w:id="3"/>
    </w:p>
    <w:tbl>
      <w:tblPr>
        <w:tblStyle w:val="15"/>
        <w:tblW w:w="8280" w:type="dxa"/>
        <w:jc w:val="center"/>
        <w:tblLayout w:type="autofit"/>
        <w:tblCellMar>
          <w:top w:w="0" w:type="dxa"/>
          <w:left w:w="108" w:type="dxa"/>
          <w:bottom w:w="0" w:type="dxa"/>
          <w:right w:w="108" w:type="dxa"/>
        </w:tblCellMar>
      </w:tblPr>
      <w:tblGrid>
        <w:gridCol w:w="1480"/>
        <w:gridCol w:w="1960"/>
        <w:gridCol w:w="2760"/>
        <w:gridCol w:w="1040"/>
        <w:gridCol w:w="1040"/>
      </w:tblGrid>
      <w:tr>
        <w:tblPrEx>
          <w:tblCellMar>
            <w:top w:w="0" w:type="dxa"/>
            <w:left w:w="108" w:type="dxa"/>
            <w:bottom w:w="0" w:type="dxa"/>
            <w:right w:w="108" w:type="dxa"/>
          </w:tblCellMar>
        </w:tblPrEx>
        <w:trPr>
          <w:trHeight w:val="272" w:hRule="atLeast"/>
          <w:jc w:val="center"/>
        </w:trPr>
        <w:tc>
          <w:tcPr>
            <w:tcW w:w="148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序号</w:t>
            </w:r>
          </w:p>
        </w:tc>
        <w:tc>
          <w:tcPr>
            <w:tcW w:w="19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系统名称</w:t>
            </w:r>
          </w:p>
        </w:tc>
        <w:tc>
          <w:tcPr>
            <w:tcW w:w="27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设备名称</w:t>
            </w:r>
          </w:p>
        </w:tc>
        <w:tc>
          <w:tcPr>
            <w:tcW w:w="104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数量</w:t>
            </w:r>
          </w:p>
        </w:tc>
        <w:tc>
          <w:tcPr>
            <w:tcW w:w="104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单位</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监控系统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摄像机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52</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存储服务器</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视频服务器</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解码器</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8</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块</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一卡通系统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入口控制机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套</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出口控制机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套</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管理工作站</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门禁控制器</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门禁读卡器、磁力锁</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批</w:t>
            </w:r>
          </w:p>
        </w:tc>
      </w:tr>
      <w:tr>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气压式升降机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套</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广播系统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调音台</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功放</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广播主机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播放器</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分区控制器</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bottom w:val="nil"/>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4</w:t>
            </w:r>
          </w:p>
        </w:tc>
        <w:tc>
          <w:tcPr>
            <w:tcW w:w="196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UPS系统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UPS主机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nil"/>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nil"/>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电池组</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批</w:t>
            </w:r>
          </w:p>
        </w:tc>
      </w:tr>
      <w:tr>
        <w:tblPrEx>
          <w:tblCellMar>
            <w:top w:w="0" w:type="dxa"/>
            <w:left w:w="108" w:type="dxa"/>
            <w:bottom w:w="0" w:type="dxa"/>
            <w:right w:w="108" w:type="dxa"/>
          </w:tblCellMar>
        </w:tblPrEx>
        <w:trPr>
          <w:trHeight w:val="272" w:hRule="atLeast"/>
          <w:jc w:val="center"/>
        </w:trPr>
        <w:tc>
          <w:tcPr>
            <w:tcW w:w="1480" w:type="dxa"/>
            <w:vMerge w:val="restart"/>
            <w:tcBorders>
              <w:top w:val="single" w:color="auto" w:sz="4" w:space="0"/>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5</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综合布线系统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光纤配线架</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5</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网络配线架</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13</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110配线架</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电脑工作站</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25</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6</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网络交换系统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交换机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10</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网闸</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nil"/>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nil"/>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室内LED条屏</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块</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nil"/>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nil"/>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室内LED全彩屏</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块</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nil"/>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nil"/>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电视机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7</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single" w:color="auto" w:sz="4" w:space="0"/>
              <w:left w:val="single" w:color="auto" w:sz="8" w:space="0"/>
              <w:bottom w:val="nil"/>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8</w:t>
            </w:r>
          </w:p>
        </w:tc>
        <w:tc>
          <w:tcPr>
            <w:tcW w:w="196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展厅显示系统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LED背景板</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块</w:t>
            </w:r>
          </w:p>
        </w:tc>
      </w:tr>
      <w:tr>
        <w:tblPrEx>
          <w:tblCellMar>
            <w:top w:w="0" w:type="dxa"/>
            <w:left w:w="108" w:type="dxa"/>
            <w:bottom w:w="0" w:type="dxa"/>
            <w:right w:w="108" w:type="dxa"/>
          </w:tblCellMar>
        </w:tblPrEx>
        <w:trPr>
          <w:trHeight w:val="375" w:hRule="atLeast"/>
          <w:jc w:val="center"/>
        </w:trPr>
        <w:tc>
          <w:tcPr>
            <w:tcW w:w="148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前端显示单元</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6</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bl>
    <w:p>
      <w:r>
        <w:rPr>
          <w:rFonts w:hint="eastAsia"/>
        </w:rPr>
        <w:t>二、仙樱湖公园游客中心中心</w:t>
      </w:r>
      <w:r>
        <w:t>维保项目清单</w:t>
      </w:r>
    </w:p>
    <w:tbl>
      <w:tblPr>
        <w:tblStyle w:val="15"/>
        <w:tblW w:w="8280" w:type="dxa"/>
        <w:jc w:val="center"/>
        <w:tblLayout w:type="autofit"/>
        <w:tblCellMar>
          <w:top w:w="0" w:type="dxa"/>
          <w:left w:w="108" w:type="dxa"/>
          <w:bottom w:w="0" w:type="dxa"/>
          <w:right w:w="108" w:type="dxa"/>
        </w:tblCellMar>
      </w:tblPr>
      <w:tblGrid>
        <w:gridCol w:w="1480"/>
        <w:gridCol w:w="1960"/>
        <w:gridCol w:w="2760"/>
        <w:gridCol w:w="1040"/>
        <w:gridCol w:w="1040"/>
      </w:tblGrid>
      <w:tr>
        <w:tblPrEx>
          <w:tblCellMar>
            <w:top w:w="0" w:type="dxa"/>
            <w:left w:w="108" w:type="dxa"/>
            <w:bottom w:w="0" w:type="dxa"/>
            <w:right w:w="108" w:type="dxa"/>
          </w:tblCellMar>
        </w:tblPrEx>
        <w:trPr>
          <w:trHeight w:val="272" w:hRule="atLeast"/>
          <w:jc w:val="center"/>
        </w:trPr>
        <w:tc>
          <w:tcPr>
            <w:tcW w:w="148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序号</w:t>
            </w:r>
          </w:p>
        </w:tc>
        <w:tc>
          <w:tcPr>
            <w:tcW w:w="19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系统名称</w:t>
            </w:r>
          </w:p>
        </w:tc>
        <w:tc>
          <w:tcPr>
            <w:tcW w:w="27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设备名称</w:t>
            </w:r>
          </w:p>
        </w:tc>
        <w:tc>
          <w:tcPr>
            <w:tcW w:w="104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数量</w:t>
            </w:r>
          </w:p>
        </w:tc>
        <w:tc>
          <w:tcPr>
            <w:tcW w:w="104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单位</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960" w:type="dxa"/>
            <w:vMerge w:val="restart"/>
            <w:tcBorders>
              <w:top w:val="nil"/>
              <w:left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监控系统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摄像机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6</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left w:val="single" w:color="auto" w:sz="8" w:space="0"/>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p>
        </w:tc>
        <w:tc>
          <w:tcPr>
            <w:tcW w:w="196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录像机（四路）</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single" w:color="auto" w:sz="4" w:space="0"/>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网络交换系统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交换机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网闸</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道闸系统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闸机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375"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控制器</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套</w:t>
            </w:r>
          </w:p>
        </w:tc>
      </w:tr>
    </w:tbl>
    <w:p>
      <w:r>
        <w:rPr>
          <w:rFonts w:hint="eastAsia"/>
        </w:rPr>
        <w:t>三、海螺广场游客中心中心</w:t>
      </w:r>
      <w:r>
        <w:t>维保项目清单</w:t>
      </w:r>
    </w:p>
    <w:tbl>
      <w:tblPr>
        <w:tblStyle w:val="15"/>
        <w:tblW w:w="8280" w:type="dxa"/>
        <w:jc w:val="center"/>
        <w:tblLayout w:type="autofit"/>
        <w:tblCellMar>
          <w:top w:w="0" w:type="dxa"/>
          <w:left w:w="108" w:type="dxa"/>
          <w:bottom w:w="0" w:type="dxa"/>
          <w:right w:w="108" w:type="dxa"/>
        </w:tblCellMar>
      </w:tblPr>
      <w:tblGrid>
        <w:gridCol w:w="1480"/>
        <w:gridCol w:w="1960"/>
        <w:gridCol w:w="2760"/>
        <w:gridCol w:w="1040"/>
        <w:gridCol w:w="1040"/>
      </w:tblGrid>
      <w:tr>
        <w:tblPrEx>
          <w:tblCellMar>
            <w:top w:w="0" w:type="dxa"/>
            <w:left w:w="108" w:type="dxa"/>
            <w:bottom w:w="0" w:type="dxa"/>
            <w:right w:w="108" w:type="dxa"/>
          </w:tblCellMar>
        </w:tblPrEx>
        <w:trPr>
          <w:trHeight w:val="272" w:hRule="atLeast"/>
          <w:jc w:val="center"/>
        </w:trPr>
        <w:tc>
          <w:tcPr>
            <w:tcW w:w="148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序号</w:t>
            </w:r>
          </w:p>
        </w:tc>
        <w:tc>
          <w:tcPr>
            <w:tcW w:w="19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系统名称</w:t>
            </w:r>
          </w:p>
        </w:tc>
        <w:tc>
          <w:tcPr>
            <w:tcW w:w="27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设备名称</w:t>
            </w:r>
          </w:p>
        </w:tc>
        <w:tc>
          <w:tcPr>
            <w:tcW w:w="104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数量</w:t>
            </w:r>
          </w:p>
        </w:tc>
        <w:tc>
          <w:tcPr>
            <w:tcW w:w="104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单位</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960" w:type="dxa"/>
            <w:vMerge w:val="restart"/>
            <w:tcBorders>
              <w:top w:val="nil"/>
              <w:left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无线网络系统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H3C路由器</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p>
        </w:tc>
        <w:tc>
          <w:tcPr>
            <w:tcW w:w="1960" w:type="dxa"/>
            <w:vMerge w:val="continue"/>
            <w:tcBorders>
              <w:left w:val="single" w:color="auto" w:sz="4" w:space="0"/>
              <w:bottom w:val="single" w:color="000000" w:sz="4" w:space="0"/>
              <w:right w:val="single" w:color="auto" w:sz="4" w:space="0"/>
            </w:tcBorders>
            <w:shd w:val="clear" w:color="auto" w:fill="auto"/>
            <w:noWrap/>
            <w:vAlign w:val="center"/>
          </w:tcPr>
          <w:p>
            <w:pPr>
              <w:widowControl/>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H3C交换机</w:t>
            </w:r>
            <w:r>
              <w:rPr>
                <w:rFonts w:hint="eastAsia" w:ascii="楷体_GB2312" w:hAnsi="楷体_GB2312" w:eastAsia="宋体" w:cs="宋体"/>
                <w:kern w:val="0"/>
                <w:szCs w:val="21"/>
              </w:rPr>
              <w:t>（24口）</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single" w:color="auto" w:sz="4" w:space="0"/>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综合布线系统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光纤配线架</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网络配线架</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网络交换系统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交换机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auto"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网闸</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tcBorders>
              <w:top w:val="single" w:color="auto" w:sz="4" w:space="0"/>
              <w:left w:val="single" w:color="auto" w:sz="8" w:space="0"/>
              <w:bottom w:val="nil"/>
              <w:right w:val="single" w:color="auto" w:sz="4" w:space="0"/>
            </w:tcBorders>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4</w:t>
            </w:r>
          </w:p>
        </w:tc>
        <w:tc>
          <w:tcPr>
            <w:tcW w:w="1960" w:type="dxa"/>
            <w:tcBorders>
              <w:top w:val="single" w:color="auto" w:sz="4" w:space="0"/>
              <w:left w:val="single" w:color="auto" w:sz="4" w:space="0"/>
              <w:bottom w:val="nil"/>
              <w:right w:val="single" w:color="auto" w:sz="4" w:space="0"/>
            </w:tcBorders>
            <w:vAlign w:val="center"/>
          </w:tcPr>
          <w:p>
            <w:pPr>
              <w:jc w:val="center"/>
              <w:rPr>
                <w:rFonts w:ascii="楷体_GB2312" w:hAnsi="楷体_GB2312" w:eastAsia="宋体" w:cs="宋体"/>
                <w:kern w:val="0"/>
                <w:szCs w:val="21"/>
              </w:rPr>
            </w:pPr>
            <w:r>
              <w:rPr>
                <w:rFonts w:ascii="楷体_GB2312" w:hAnsi="楷体_GB2312" w:eastAsia="宋体" w:cs="宋体"/>
                <w:kern w:val="0"/>
                <w:szCs w:val="21"/>
              </w:rPr>
              <w:t>监控系统</w:t>
            </w:r>
          </w:p>
        </w:tc>
        <w:tc>
          <w:tcPr>
            <w:tcW w:w="2760" w:type="dxa"/>
            <w:tcBorders>
              <w:top w:val="single" w:color="auto" w:sz="4" w:space="0"/>
              <w:left w:val="nil"/>
              <w:bottom w:val="nil"/>
              <w:right w:val="single" w:color="auto" w:sz="4" w:space="0"/>
            </w:tcBorders>
            <w:shd w:val="clear" w:color="auto" w:fill="auto"/>
            <w:noWrap/>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室外球机</w:t>
            </w:r>
          </w:p>
        </w:tc>
        <w:tc>
          <w:tcPr>
            <w:tcW w:w="1040" w:type="dxa"/>
            <w:tcBorders>
              <w:top w:val="single" w:color="auto" w:sz="4" w:space="0"/>
              <w:left w:val="nil"/>
              <w:bottom w:val="nil"/>
              <w:right w:val="single" w:color="auto" w:sz="4" w:space="0"/>
            </w:tcBorders>
            <w:shd w:val="clear" w:color="auto" w:fill="auto"/>
            <w:noWrap/>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4</w:t>
            </w:r>
          </w:p>
        </w:tc>
        <w:tc>
          <w:tcPr>
            <w:tcW w:w="1040" w:type="dxa"/>
            <w:tcBorders>
              <w:top w:val="single" w:color="auto" w:sz="4" w:space="0"/>
              <w:left w:val="nil"/>
              <w:bottom w:val="nil"/>
              <w:right w:val="single" w:color="auto" w:sz="8" w:space="0"/>
            </w:tcBorders>
            <w:shd w:val="clear" w:color="auto" w:fill="auto"/>
            <w:noWrap/>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tcBorders>
              <w:top w:val="single" w:color="auto" w:sz="4" w:space="0"/>
              <w:left w:val="single" w:color="auto" w:sz="8" w:space="0"/>
              <w:bottom w:val="single" w:color="auto" w:sz="4" w:space="0"/>
              <w:right w:val="single" w:color="auto" w:sz="4" w:space="0"/>
            </w:tcBorders>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5</w:t>
            </w: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报警系统</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报警主机</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tcBorders>
              <w:top w:val="single" w:color="auto" w:sz="4" w:space="0"/>
              <w:left w:val="single" w:color="auto" w:sz="8" w:space="0"/>
              <w:bottom w:val="single" w:color="000000" w:sz="4" w:space="0"/>
              <w:right w:val="single" w:color="auto" w:sz="4" w:space="0"/>
            </w:tcBorders>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6</w:t>
            </w:r>
          </w:p>
        </w:tc>
        <w:tc>
          <w:tcPr>
            <w:tcW w:w="19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播放系统</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功放</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tcBorders>
              <w:top w:val="single" w:color="auto" w:sz="4" w:space="0"/>
              <w:left w:val="single" w:color="auto" w:sz="8" w:space="0"/>
              <w:bottom w:val="single" w:color="000000" w:sz="4" w:space="0"/>
              <w:right w:val="single" w:color="auto" w:sz="4" w:space="0"/>
            </w:tcBorders>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7</w:t>
            </w:r>
          </w:p>
        </w:tc>
        <w:tc>
          <w:tcPr>
            <w:tcW w:w="19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大屏系统</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LED大屏</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tcBorders>
              <w:top w:val="single" w:color="auto" w:sz="4" w:space="0"/>
              <w:left w:val="single" w:color="auto" w:sz="8" w:space="0"/>
              <w:bottom w:val="single" w:color="000000" w:sz="4" w:space="0"/>
              <w:right w:val="single" w:color="auto" w:sz="4" w:space="0"/>
            </w:tcBorders>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8</w:t>
            </w:r>
          </w:p>
        </w:tc>
        <w:tc>
          <w:tcPr>
            <w:tcW w:w="19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电视机</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挂壁式液晶电视机</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bl>
    <w:p>
      <w:r>
        <w:rPr>
          <w:rFonts w:hint="eastAsia"/>
        </w:rPr>
        <w:t>四、天主教堂咨询点中心</w:t>
      </w:r>
      <w:r>
        <w:t>维保项目清单</w:t>
      </w:r>
    </w:p>
    <w:tbl>
      <w:tblPr>
        <w:tblStyle w:val="15"/>
        <w:tblW w:w="8280" w:type="dxa"/>
        <w:jc w:val="center"/>
        <w:tblLayout w:type="autofit"/>
        <w:tblCellMar>
          <w:top w:w="0" w:type="dxa"/>
          <w:left w:w="108" w:type="dxa"/>
          <w:bottom w:w="0" w:type="dxa"/>
          <w:right w:w="108" w:type="dxa"/>
        </w:tblCellMar>
      </w:tblPr>
      <w:tblGrid>
        <w:gridCol w:w="1480"/>
        <w:gridCol w:w="1960"/>
        <w:gridCol w:w="2760"/>
        <w:gridCol w:w="1040"/>
        <w:gridCol w:w="1040"/>
      </w:tblGrid>
      <w:tr>
        <w:tblPrEx>
          <w:tblCellMar>
            <w:top w:w="0" w:type="dxa"/>
            <w:left w:w="108" w:type="dxa"/>
            <w:bottom w:w="0" w:type="dxa"/>
            <w:right w:w="108" w:type="dxa"/>
          </w:tblCellMar>
        </w:tblPrEx>
        <w:trPr>
          <w:trHeight w:val="272" w:hRule="atLeast"/>
          <w:jc w:val="center"/>
        </w:trPr>
        <w:tc>
          <w:tcPr>
            <w:tcW w:w="148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序号</w:t>
            </w:r>
          </w:p>
        </w:tc>
        <w:tc>
          <w:tcPr>
            <w:tcW w:w="19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系统名称</w:t>
            </w:r>
          </w:p>
        </w:tc>
        <w:tc>
          <w:tcPr>
            <w:tcW w:w="27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设备名称</w:t>
            </w:r>
          </w:p>
        </w:tc>
        <w:tc>
          <w:tcPr>
            <w:tcW w:w="104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数量</w:t>
            </w:r>
          </w:p>
        </w:tc>
        <w:tc>
          <w:tcPr>
            <w:tcW w:w="104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单位</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960" w:type="dxa"/>
            <w:vMerge w:val="restart"/>
            <w:tcBorders>
              <w:top w:val="nil"/>
              <w:left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无线网络系统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H3C路由器</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p>
        </w:tc>
        <w:tc>
          <w:tcPr>
            <w:tcW w:w="1960" w:type="dxa"/>
            <w:vMerge w:val="continue"/>
            <w:tcBorders>
              <w:left w:val="single" w:color="auto" w:sz="4" w:space="0"/>
              <w:bottom w:val="single" w:color="000000" w:sz="4" w:space="0"/>
              <w:right w:val="single" w:color="auto" w:sz="4" w:space="0"/>
            </w:tcBorders>
            <w:shd w:val="clear" w:color="auto" w:fill="auto"/>
            <w:noWrap/>
            <w:vAlign w:val="center"/>
          </w:tcPr>
          <w:p>
            <w:pPr>
              <w:widowControl/>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H3C交换机</w:t>
            </w:r>
            <w:r>
              <w:rPr>
                <w:rFonts w:hint="eastAsia" w:ascii="楷体_GB2312" w:hAnsi="楷体_GB2312" w:eastAsia="宋体" w:cs="宋体"/>
                <w:kern w:val="0"/>
                <w:szCs w:val="21"/>
              </w:rPr>
              <w:t>（24口）</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single" w:color="auto" w:sz="4" w:space="0"/>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综合布线系统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光纤配线架</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网络配线架</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网络交换系统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交换机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auto"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网闸</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single" w:color="auto" w:sz="4" w:space="0"/>
              <w:left w:val="single" w:color="auto" w:sz="8" w:space="0"/>
              <w:right w:val="single" w:color="auto" w:sz="4" w:space="0"/>
            </w:tcBorders>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4</w:t>
            </w:r>
          </w:p>
        </w:tc>
        <w:tc>
          <w:tcPr>
            <w:tcW w:w="1960" w:type="dxa"/>
            <w:vMerge w:val="restart"/>
            <w:tcBorders>
              <w:top w:val="single" w:color="auto" w:sz="4" w:space="0"/>
              <w:left w:val="single" w:color="auto" w:sz="4" w:space="0"/>
              <w:right w:val="single" w:color="auto" w:sz="4" w:space="0"/>
            </w:tcBorders>
            <w:vAlign w:val="center"/>
          </w:tcPr>
          <w:p>
            <w:pPr>
              <w:jc w:val="center"/>
              <w:rPr>
                <w:rFonts w:ascii="楷体_GB2312" w:hAnsi="楷体_GB2312" w:eastAsia="宋体" w:cs="宋体"/>
                <w:kern w:val="0"/>
                <w:szCs w:val="21"/>
              </w:rPr>
            </w:pPr>
            <w:r>
              <w:rPr>
                <w:rFonts w:ascii="楷体_GB2312" w:hAnsi="楷体_GB2312" w:eastAsia="宋体" w:cs="宋体"/>
                <w:kern w:val="0"/>
                <w:szCs w:val="21"/>
              </w:rPr>
              <w:t>监控系统</w:t>
            </w:r>
          </w:p>
        </w:tc>
        <w:tc>
          <w:tcPr>
            <w:tcW w:w="2760" w:type="dxa"/>
            <w:tcBorders>
              <w:top w:val="single" w:color="auto" w:sz="4" w:space="0"/>
              <w:left w:val="nil"/>
              <w:bottom w:val="nil"/>
              <w:right w:val="single" w:color="auto" w:sz="4" w:space="0"/>
            </w:tcBorders>
            <w:shd w:val="clear" w:color="auto" w:fill="auto"/>
            <w:noWrap/>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室外球机</w:t>
            </w:r>
          </w:p>
        </w:tc>
        <w:tc>
          <w:tcPr>
            <w:tcW w:w="1040" w:type="dxa"/>
            <w:tcBorders>
              <w:top w:val="single" w:color="auto" w:sz="4" w:space="0"/>
              <w:left w:val="nil"/>
              <w:bottom w:val="nil"/>
              <w:right w:val="single" w:color="auto" w:sz="4" w:space="0"/>
            </w:tcBorders>
            <w:shd w:val="clear" w:color="auto" w:fill="auto"/>
            <w:noWrap/>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040" w:type="dxa"/>
            <w:tcBorders>
              <w:top w:val="single" w:color="auto" w:sz="4" w:space="0"/>
              <w:left w:val="nil"/>
              <w:bottom w:val="nil"/>
              <w:right w:val="single" w:color="auto" w:sz="8" w:space="0"/>
            </w:tcBorders>
            <w:shd w:val="clear" w:color="auto" w:fill="auto"/>
            <w:noWrap/>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left w:val="single" w:color="auto" w:sz="8" w:space="0"/>
              <w:bottom w:val="nil"/>
              <w:right w:val="single" w:color="auto" w:sz="4" w:space="0"/>
            </w:tcBorders>
            <w:vAlign w:val="center"/>
          </w:tcPr>
          <w:p>
            <w:pPr>
              <w:jc w:val="center"/>
              <w:rPr>
                <w:rFonts w:ascii="楷体_GB2312" w:hAnsi="楷体_GB2312" w:eastAsia="宋体" w:cs="宋体"/>
                <w:kern w:val="0"/>
                <w:szCs w:val="21"/>
              </w:rPr>
            </w:pPr>
          </w:p>
        </w:tc>
        <w:tc>
          <w:tcPr>
            <w:tcW w:w="1960" w:type="dxa"/>
            <w:vMerge w:val="continue"/>
            <w:tcBorders>
              <w:left w:val="single" w:color="auto" w:sz="4" w:space="0"/>
              <w:bottom w:val="nil"/>
              <w:right w:val="single" w:color="auto" w:sz="4" w:space="0"/>
            </w:tcBorders>
            <w:vAlign w:val="center"/>
          </w:tcPr>
          <w:p>
            <w:pPr>
              <w:jc w:val="center"/>
              <w:rPr>
                <w:rFonts w:ascii="楷体_GB2312" w:hAnsi="楷体_GB2312" w:eastAsia="宋体" w:cs="宋体"/>
                <w:kern w:val="0"/>
                <w:szCs w:val="21"/>
              </w:rPr>
            </w:pPr>
          </w:p>
        </w:tc>
        <w:tc>
          <w:tcPr>
            <w:tcW w:w="2760" w:type="dxa"/>
            <w:tcBorders>
              <w:top w:val="single" w:color="auto" w:sz="4" w:space="0"/>
              <w:left w:val="nil"/>
              <w:bottom w:val="nil"/>
              <w:right w:val="single" w:color="auto" w:sz="4" w:space="0"/>
            </w:tcBorders>
            <w:shd w:val="clear" w:color="auto" w:fill="auto"/>
            <w:noWrap/>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室外枪机</w:t>
            </w:r>
          </w:p>
        </w:tc>
        <w:tc>
          <w:tcPr>
            <w:tcW w:w="1040" w:type="dxa"/>
            <w:tcBorders>
              <w:top w:val="single" w:color="auto" w:sz="4" w:space="0"/>
              <w:left w:val="nil"/>
              <w:bottom w:val="nil"/>
              <w:right w:val="single" w:color="auto" w:sz="4" w:space="0"/>
            </w:tcBorders>
            <w:shd w:val="clear" w:color="auto" w:fill="auto"/>
            <w:noWrap/>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040" w:type="dxa"/>
            <w:tcBorders>
              <w:top w:val="single" w:color="auto" w:sz="4" w:space="0"/>
              <w:left w:val="nil"/>
              <w:bottom w:val="nil"/>
              <w:right w:val="single" w:color="auto" w:sz="8" w:space="0"/>
            </w:tcBorders>
            <w:shd w:val="clear" w:color="auto" w:fill="auto"/>
            <w:noWrap/>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tcBorders>
              <w:top w:val="single" w:color="auto" w:sz="4" w:space="0"/>
              <w:left w:val="single" w:color="auto" w:sz="8" w:space="0"/>
              <w:bottom w:val="single" w:color="auto" w:sz="4" w:space="0"/>
              <w:right w:val="single" w:color="auto" w:sz="4" w:space="0"/>
            </w:tcBorders>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5</w:t>
            </w: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报警系统</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报警主机</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single" w:color="auto" w:sz="4" w:space="0"/>
              <w:left w:val="single" w:color="auto" w:sz="8" w:space="0"/>
              <w:right w:val="single" w:color="auto" w:sz="4" w:space="0"/>
            </w:tcBorders>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6</w:t>
            </w:r>
          </w:p>
        </w:tc>
        <w:tc>
          <w:tcPr>
            <w:tcW w:w="1960" w:type="dxa"/>
            <w:vMerge w:val="restart"/>
            <w:tcBorders>
              <w:top w:val="single" w:color="auto" w:sz="4" w:space="0"/>
              <w:left w:val="single" w:color="auto" w:sz="4" w:space="0"/>
              <w:right w:val="single" w:color="auto" w:sz="4" w:space="0"/>
            </w:tcBorders>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播放系统</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功放</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left w:val="single" w:color="auto" w:sz="8" w:space="0"/>
              <w:bottom w:val="single" w:color="000000" w:sz="4" w:space="0"/>
              <w:right w:val="single" w:color="auto" w:sz="4" w:space="0"/>
            </w:tcBorders>
            <w:vAlign w:val="center"/>
          </w:tcPr>
          <w:p>
            <w:pPr>
              <w:jc w:val="center"/>
              <w:rPr>
                <w:rFonts w:ascii="楷体_GB2312" w:hAnsi="楷体_GB2312" w:eastAsia="宋体" w:cs="宋体"/>
                <w:kern w:val="0"/>
                <w:szCs w:val="21"/>
              </w:rPr>
            </w:pPr>
          </w:p>
        </w:tc>
        <w:tc>
          <w:tcPr>
            <w:tcW w:w="1960" w:type="dxa"/>
            <w:vMerge w:val="continue"/>
            <w:tcBorders>
              <w:left w:val="single" w:color="auto" w:sz="4" w:space="0"/>
              <w:bottom w:val="single" w:color="000000" w:sz="4" w:space="0"/>
              <w:right w:val="single" w:color="auto" w:sz="4" w:space="0"/>
            </w:tcBorders>
            <w:vAlign w:val="center"/>
          </w:tcPr>
          <w:p>
            <w:pPr>
              <w:widowControl/>
              <w:jc w:val="center"/>
              <w:rPr>
                <w:rFonts w:ascii="楷体_GB2312" w:hAnsi="楷体_GB2312" w:eastAsia="宋体" w:cs="宋体"/>
                <w:kern w:val="0"/>
                <w:szCs w:val="21"/>
              </w:rPr>
            </w:pP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音乐播放器</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tcBorders>
              <w:top w:val="single" w:color="auto" w:sz="4" w:space="0"/>
              <w:left w:val="single" w:color="auto" w:sz="8" w:space="0"/>
              <w:bottom w:val="single" w:color="000000" w:sz="4" w:space="0"/>
              <w:right w:val="single" w:color="auto" w:sz="4" w:space="0"/>
            </w:tcBorders>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7</w:t>
            </w:r>
          </w:p>
        </w:tc>
        <w:tc>
          <w:tcPr>
            <w:tcW w:w="19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大屏系统</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LED大屏</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tcBorders>
              <w:top w:val="single" w:color="auto" w:sz="4" w:space="0"/>
              <w:left w:val="single" w:color="auto" w:sz="8" w:space="0"/>
              <w:bottom w:val="single" w:color="000000" w:sz="4" w:space="0"/>
              <w:right w:val="single" w:color="auto" w:sz="4" w:space="0"/>
            </w:tcBorders>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8</w:t>
            </w:r>
          </w:p>
        </w:tc>
        <w:tc>
          <w:tcPr>
            <w:tcW w:w="19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电视机</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挂壁式液晶电视机</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04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tcBorders>
              <w:top w:val="single" w:color="auto" w:sz="4" w:space="0"/>
              <w:left w:val="single" w:color="auto" w:sz="8" w:space="0"/>
              <w:bottom w:val="single" w:color="000000" w:sz="4" w:space="0"/>
              <w:right w:val="single" w:color="auto" w:sz="4" w:space="0"/>
            </w:tcBorders>
            <w:vAlign w:val="center"/>
          </w:tcPr>
          <w:p>
            <w:pPr>
              <w:jc w:val="center"/>
              <w:rPr>
                <w:rFonts w:ascii="楷体_GB2312" w:hAnsi="楷体_GB2312" w:eastAsia="宋体" w:cs="宋体"/>
                <w:kern w:val="0"/>
                <w:szCs w:val="21"/>
              </w:rPr>
            </w:pPr>
            <w:r>
              <w:rPr>
                <w:rFonts w:hint="eastAsia" w:ascii="楷体_GB2312" w:hAnsi="楷体_GB2312" w:eastAsia="宋体" w:cs="宋体"/>
                <w:kern w:val="0"/>
                <w:szCs w:val="21"/>
              </w:rPr>
              <w:t>9</w:t>
            </w:r>
          </w:p>
        </w:tc>
        <w:tc>
          <w:tcPr>
            <w:tcW w:w="19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服务器</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联想服务器</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bl>
    <w:p>
      <w:pPr>
        <w:rPr>
          <w:rFonts w:ascii="楷体_GB2312" w:hAnsi="楷体_GB2312" w:eastAsia="宋体" w:cs="宋体"/>
          <w:kern w:val="0"/>
          <w:szCs w:val="21"/>
        </w:rPr>
      </w:pPr>
    </w:p>
    <w:p>
      <w:r>
        <w:rPr>
          <w:rFonts w:hint="eastAsia"/>
        </w:rPr>
        <w:t>五、莲池湖公园游客中心</w:t>
      </w:r>
      <w:r>
        <w:t>维保项目清单</w:t>
      </w:r>
    </w:p>
    <w:tbl>
      <w:tblPr>
        <w:tblStyle w:val="15"/>
        <w:tblW w:w="8280" w:type="dxa"/>
        <w:jc w:val="center"/>
        <w:tblLayout w:type="autofit"/>
        <w:tblCellMar>
          <w:top w:w="0" w:type="dxa"/>
          <w:left w:w="108" w:type="dxa"/>
          <w:bottom w:w="0" w:type="dxa"/>
          <w:right w:w="108" w:type="dxa"/>
        </w:tblCellMar>
      </w:tblPr>
      <w:tblGrid>
        <w:gridCol w:w="1480"/>
        <w:gridCol w:w="1960"/>
        <w:gridCol w:w="2760"/>
        <w:gridCol w:w="1040"/>
        <w:gridCol w:w="1040"/>
      </w:tblGrid>
      <w:tr>
        <w:tblPrEx>
          <w:tblCellMar>
            <w:top w:w="0" w:type="dxa"/>
            <w:left w:w="108" w:type="dxa"/>
            <w:bottom w:w="0" w:type="dxa"/>
            <w:right w:w="108" w:type="dxa"/>
          </w:tblCellMar>
        </w:tblPrEx>
        <w:trPr>
          <w:trHeight w:val="272" w:hRule="atLeast"/>
          <w:jc w:val="center"/>
        </w:trPr>
        <w:tc>
          <w:tcPr>
            <w:tcW w:w="148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序号</w:t>
            </w:r>
          </w:p>
        </w:tc>
        <w:tc>
          <w:tcPr>
            <w:tcW w:w="19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系统名称</w:t>
            </w:r>
          </w:p>
        </w:tc>
        <w:tc>
          <w:tcPr>
            <w:tcW w:w="27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设备名称</w:t>
            </w:r>
          </w:p>
        </w:tc>
        <w:tc>
          <w:tcPr>
            <w:tcW w:w="104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数量</w:t>
            </w:r>
          </w:p>
        </w:tc>
        <w:tc>
          <w:tcPr>
            <w:tcW w:w="104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单位</w:t>
            </w:r>
          </w:p>
        </w:tc>
      </w:tr>
      <w:tr>
        <w:tblPrEx>
          <w:tblCellMar>
            <w:top w:w="0" w:type="dxa"/>
            <w:left w:w="108" w:type="dxa"/>
            <w:bottom w:w="0" w:type="dxa"/>
            <w:right w:w="108" w:type="dxa"/>
          </w:tblCellMar>
        </w:tblPrEx>
        <w:trPr>
          <w:trHeight w:val="272" w:hRule="atLeast"/>
          <w:jc w:val="center"/>
        </w:trPr>
        <w:tc>
          <w:tcPr>
            <w:tcW w:w="1480" w:type="dxa"/>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96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监控系统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摄像机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12</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96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播放系统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ascii="楷体_GB2312" w:hAnsi="楷体_GB2312" w:eastAsia="宋体" w:cs="宋体"/>
                <w:kern w:val="0"/>
                <w:szCs w:val="21"/>
              </w:rPr>
              <w:t>功放</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single" w:color="auto" w:sz="4" w:space="0"/>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综合布线系统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光纤配线架</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网络配线架</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4</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4</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网络交换系统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交换机</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r>
        <w:tblPrEx>
          <w:tblCellMar>
            <w:top w:w="0" w:type="dxa"/>
            <w:left w:w="108" w:type="dxa"/>
            <w:bottom w:w="0" w:type="dxa"/>
            <w:right w:w="108" w:type="dxa"/>
          </w:tblCellMar>
        </w:tblPrEx>
        <w:trPr>
          <w:trHeight w:val="272" w:hRule="atLeast"/>
          <w:jc w:val="center"/>
        </w:trPr>
        <w:tc>
          <w:tcPr>
            <w:tcW w:w="1480" w:type="dxa"/>
            <w:vMerge w:val="continue"/>
            <w:tcBorders>
              <w:top w:val="nil"/>
              <w:left w:val="single" w:color="auto" w:sz="8"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宋体" w:cs="宋体"/>
                <w:kern w:val="0"/>
                <w:szCs w:val="21"/>
              </w:rPr>
            </w:pP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网闸</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040" w:type="dxa"/>
            <w:tcBorders>
              <w:top w:val="nil"/>
              <w:left w:val="nil"/>
              <w:bottom w:val="single" w:color="auto" w:sz="4" w:space="0"/>
              <w:right w:val="single" w:color="auto" w:sz="8" w:space="0"/>
            </w:tcBorders>
            <w:shd w:val="clear" w:color="auto" w:fill="auto"/>
            <w:noWrap/>
            <w:vAlign w:val="center"/>
          </w:tcPr>
          <w:p>
            <w:pPr>
              <w:widowControl/>
              <w:jc w:val="center"/>
              <w:rPr>
                <w:rFonts w:ascii="楷体_GB2312" w:hAnsi="楷体_GB2312" w:eastAsia="宋体" w:cs="宋体"/>
                <w:kern w:val="0"/>
                <w:szCs w:val="21"/>
              </w:rPr>
            </w:pPr>
            <w:r>
              <w:rPr>
                <w:rFonts w:hint="eastAsia" w:ascii="楷体_GB2312" w:hAnsi="楷体_GB2312" w:eastAsia="宋体" w:cs="宋体"/>
                <w:kern w:val="0"/>
                <w:szCs w:val="21"/>
              </w:rPr>
              <w:t>台</w:t>
            </w:r>
          </w:p>
        </w:tc>
      </w:tr>
    </w:tbl>
    <w:p>
      <w:pPr>
        <w:rPr>
          <w:rFonts w:ascii="楷体_GB2312" w:hAnsi="楷体_GB2312" w:eastAsia="宋体" w:cs="宋体"/>
          <w:kern w:val="0"/>
          <w:szCs w:val="21"/>
        </w:rPr>
      </w:pPr>
      <w:r>
        <w:rPr>
          <w:rFonts w:ascii="楷体_GB2312" w:hAnsi="楷体_GB2312" w:eastAsia="宋体" w:cs="宋体"/>
          <w:kern w:val="0"/>
          <w:szCs w:val="21"/>
        </w:rPr>
        <w:t>注：</w:t>
      </w:r>
      <w:r>
        <w:rPr>
          <w:rFonts w:hint="eastAsia" w:ascii="楷体_GB2312" w:hAnsi="楷体_GB2312" w:eastAsia="宋体" w:cs="宋体"/>
          <w:kern w:val="0"/>
          <w:szCs w:val="21"/>
        </w:rPr>
        <w:t>以上设备每月进行一次运行完好程度的检查工作和清洁工作。本清单设备包括甲方产权内所有弱电设备，请参考以上清单但不仅限于以上设备。</w:t>
      </w:r>
      <w:r>
        <w:rPr>
          <w:rFonts w:hint="eastAsia" w:ascii="楷体_GB2312" w:hAnsi="楷体_GB2312" w:eastAsia="宋体" w:cs="宋体"/>
          <w:b/>
          <w:bCs/>
          <w:kern w:val="0"/>
          <w:szCs w:val="21"/>
        </w:rPr>
        <w:t>为避免中标后的纠纷，</w:t>
      </w:r>
      <w:r>
        <w:rPr>
          <w:rFonts w:ascii="楷体_GB2312" w:hAnsi="楷体_GB2312" w:eastAsia="宋体" w:cs="宋体"/>
          <w:b/>
          <w:bCs/>
          <w:kern w:val="0"/>
          <w:szCs w:val="21"/>
        </w:rPr>
        <w:t>各</w:t>
      </w:r>
      <w:r>
        <w:rPr>
          <w:rFonts w:hint="eastAsia" w:ascii="楷体_GB2312" w:hAnsi="楷体_GB2312" w:eastAsia="宋体" w:cs="宋体"/>
          <w:b/>
          <w:bCs/>
          <w:kern w:val="0"/>
          <w:szCs w:val="21"/>
        </w:rPr>
        <w:t>投标</w:t>
      </w:r>
      <w:r>
        <w:rPr>
          <w:rFonts w:ascii="楷体_GB2312" w:hAnsi="楷体_GB2312" w:eastAsia="宋体" w:cs="宋体"/>
          <w:b/>
          <w:bCs/>
          <w:kern w:val="0"/>
          <w:szCs w:val="21"/>
        </w:rPr>
        <w:t>响应单位在投标前</w:t>
      </w:r>
      <w:r>
        <w:rPr>
          <w:rFonts w:hint="eastAsia" w:ascii="楷体_GB2312" w:hAnsi="楷体_GB2312" w:eastAsia="宋体" w:cs="宋体"/>
          <w:b/>
          <w:bCs/>
          <w:kern w:val="0"/>
          <w:szCs w:val="21"/>
        </w:rPr>
        <w:t>需联系我司进行现场勘察报名，</w:t>
      </w:r>
      <w:r>
        <w:rPr>
          <w:rFonts w:ascii="楷体_GB2312" w:hAnsi="楷体_GB2312" w:eastAsia="宋体" w:cs="宋体"/>
          <w:b/>
          <w:bCs/>
          <w:kern w:val="0"/>
          <w:szCs w:val="21"/>
        </w:rPr>
        <w:t>明确</w:t>
      </w:r>
      <w:r>
        <w:rPr>
          <w:rFonts w:hint="eastAsia" w:ascii="楷体_GB2312" w:hAnsi="楷体_GB2312" w:eastAsia="宋体" w:cs="宋体"/>
          <w:b/>
          <w:bCs/>
          <w:kern w:val="0"/>
          <w:szCs w:val="21"/>
        </w:rPr>
        <w:t>设备具体情况和维保等</w:t>
      </w:r>
      <w:r>
        <w:rPr>
          <w:rFonts w:ascii="楷体_GB2312" w:hAnsi="楷体_GB2312" w:eastAsia="宋体" w:cs="宋体"/>
          <w:b/>
          <w:bCs/>
          <w:kern w:val="0"/>
          <w:szCs w:val="21"/>
        </w:rPr>
        <w:t>要求，</w:t>
      </w:r>
      <w:r>
        <w:rPr>
          <w:rFonts w:hint="eastAsia" w:ascii="楷体_GB2312" w:hAnsi="楷体_GB2312" w:eastAsia="宋体" w:cs="宋体"/>
          <w:b/>
          <w:bCs/>
          <w:kern w:val="0"/>
          <w:szCs w:val="21"/>
        </w:rPr>
        <w:t>如未进行现场勘察报名单位的标书不予接收</w:t>
      </w:r>
      <w:r>
        <w:rPr>
          <w:rFonts w:hint="eastAsia" w:ascii="楷体_GB2312" w:hAnsi="楷体_GB2312" w:eastAsia="宋体" w:cs="宋体"/>
          <w:kern w:val="0"/>
          <w:szCs w:val="21"/>
        </w:rPr>
        <w:t>，</w:t>
      </w:r>
      <w:r>
        <w:rPr>
          <w:rFonts w:ascii="楷体_GB2312" w:hAnsi="楷体_GB2312" w:eastAsia="宋体" w:cs="宋体"/>
          <w:kern w:val="0"/>
          <w:szCs w:val="21"/>
        </w:rPr>
        <w:t>以免产生</w:t>
      </w:r>
      <w:r>
        <w:rPr>
          <w:rFonts w:hint="eastAsia" w:ascii="楷体_GB2312" w:hAnsi="楷体_GB2312" w:eastAsia="宋体" w:cs="宋体"/>
          <w:kern w:val="0"/>
          <w:szCs w:val="21"/>
        </w:rPr>
        <w:t>因勘察不周而引起的权责纠纷</w:t>
      </w:r>
      <w:r>
        <w:rPr>
          <w:rFonts w:ascii="楷体_GB2312" w:hAnsi="楷体_GB2312" w:eastAsia="宋体" w:cs="宋体"/>
          <w:kern w:val="0"/>
          <w:szCs w:val="21"/>
        </w:rPr>
        <w:t>。</w:t>
      </w:r>
    </w:p>
    <w:p>
      <w:bookmarkStart w:id="4" w:name="_Toc462247496"/>
      <w:r>
        <w:rPr>
          <w:rFonts w:hint="eastAsia"/>
        </w:rPr>
        <w:t>二、</w:t>
      </w:r>
      <w:r>
        <w:t>网络、安全系统运维服务</w:t>
      </w:r>
      <w:bookmarkEnd w:id="4"/>
    </w:p>
    <w:p>
      <w:pPr>
        <w:pStyle w:val="5"/>
        <w:spacing w:line="360" w:lineRule="auto"/>
        <w:ind w:firstLineChars="200"/>
        <w:rPr>
          <w:rFonts w:ascii="楷体_GB2312" w:hAnsi="楷体_GB2312" w:cs="宋体"/>
          <w:kern w:val="0"/>
          <w:szCs w:val="21"/>
        </w:rPr>
      </w:pPr>
      <w:r>
        <w:rPr>
          <w:rFonts w:hint="eastAsia" w:ascii="楷体_GB2312" w:hAnsi="楷体_GB2312" w:cs="宋体"/>
          <w:kern w:val="0"/>
          <w:szCs w:val="21"/>
        </w:rPr>
        <w:t>从网络的连通性、网络的性能、网络的监控管理三个方面实现对网络系统的运维管理。网络、安全系统基本服务内容：</w:t>
      </w:r>
    </w:p>
    <w:tbl>
      <w:tblPr>
        <w:tblStyle w:val="15"/>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038"/>
        <w:gridCol w:w="3258"/>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86" w:type="pct"/>
            <w:shd w:val="clear" w:color="auto" w:fill="C0C0C0"/>
            <w:noWrap/>
            <w:vAlign w:val="center"/>
          </w:tcPr>
          <w:p>
            <w:pPr>
              <w:widowControl/>
              <w:spacing w:line="300" w:lineRule="auto"/>
              <w:jc w:val="center"/>
              <w:rPr>
                <w:rFonts w:ascii="楷体_GB2312" w:hAnsi="楷体_GB2312" w:eastAsia="宋体" w:cs="宋体"/>
                <w:kern w:val="0"/>
                <w:szCs w:val="21"/>
              </w:rPr>
            </w:pPr>
            <w:r>
              <w:rPr>
                <w:rFonts w:ascii="楷体_GB2312" w:hAnsi="楷体_GB2312" w:eastAsia="宋体" w:cs="宋体"/>
                <w:kern w:val="0"/>
                <w:szCs w:val="21"/>
              </w:rPr>
              <w:t>序号</w:t>
            </w:r>
          </w:p>
        </w:tc>
        <w:tc>
          <w:tcPr>
            <w:tcW w:w="1231" w:type="pct"/>
            <w:shd w:val="clear" w:color="auto" w:fill="C0C0C0"/>
            <w:noWrap/>
            <w:vAlign w:val="center"/>
          </w:tcPr>
          <w:p>
            <w:pPr>
              <w:widowControl/>
              <w:spacing w:line="300" w:lineRule="auto"/>
              <w:jc w:val="center"/>
              <w:rPr>
                <w:rFonts w:ascii="楷体_GB2312" w:hAnsi="楷体_GB2312" w:eastAsia="宋体" w:cs="宋体"/>
                <w:kern w:val="0"/>
                <w:szCs w:val="21"/>
              </w:rPr>
            </w:pPr>
            <w:r>
              <w:rPr>
                <w:rFonts w:ascii="楷体_GB2312" w:hAnsi="楷体_GB2312" w:eastAsia="宋体" w:cs="宋体"/>
                <w:kern w:val="0"/>
                <w:szCs w:val="21"/>
              </w:rPr>
              <w:t>服务模块</w:t>
            </w:r>
          </w:p>
        </w:tc>
        <w:tc>
          <w:tcPr>
            <w:tcW w:w="1968" w:type="pct"/>
            <w:shd w:val="clear" w:color="auto" w:fill="C0C0C0"/>
            <w:vAlign w:val="center"/>
          </w:tcPr>
          <w:p>
            <w:pPr>
              <w:widowControl/>
              <w:spacing w:line="300" w:lineRule="auto"/>
              <w:jc w:val="center"/>
              <w:rPr>
                <w:rFonts w:ascii="楷体_GB2312" w:hAnsi="楷体_GB2312" w:eastAsia="宋体" w:cs="宋体"/>
                <w:kern w:val="0"/>
                <w:szCs w:val="21"/>
              </w:rPr>
            </w:pPr>
            <w:r>
              <w:rPr>
                <w:rFonts w:ascii="楷体_GB2312" w:hAnsi="楷体_GB2312" w:eastAsia="宋体" w:cs="宋体"/>
                <w:kern w:val="0"/>
                <w:szCs w:val="21"/>
              </w:rPr>
              <w:t>内容描述</w:t>
            </w:r>
          </w:p>
        </w:tc>
        <w:tc>
          <w:tcPr>
            <w:tcW w:w="1415" w:type="pct"/>
            <w:shd w:val="clear" w:color="auto" w:fill="C0C0C0"/>
            <w:vAlign w:val="center"/>
          </w:tcPr>
          <w:p>
            <w:pPr>
              <w:widowControl/>
              <w:spacing w:line="300" w:lineRule="auto"/>
              <w:jc w:val="center"/>
              <w:rPr>
                <w:rFonts w:ascii="楷体_GB2312" w:hAnsi="楷体_GB2312" w:eastAsia="宋体" w:cs="宋体"/>
                <w:kern w:val="0"/>
                <w:szCs w:val="21"/>
              </w:rPr>
            </w:pPr>
            <w:r>
              <w:rPr>
                <w:rFonts w:ascii="楷体_GB2312" w:hAnsi="楷体_GB2312" w:eastAsia="宋体" w:cs="宋体"/>
                <w:kern w:val="0"/>
                <w:szCs w:val="21"/>
              </w:rPr>
              <w:t>提供方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6" w:type="pct"/>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1</w:t>
            </w:r>
          </w:p>
        </w:tc>
        <w:tc>
          <w:tcPr>
            <w:tcW w:w="1231" w:type="pct"/>
            <w:shd w:val="clear" w:color="auto" w:fill="auto"/>
            <w:noWrap/>
            <w:vAlign w:val="center"/>
          </w:tcPr>
          <w:p>
            <w:pPr>
              <w:widowControl/>
              <w:spacing w:line="300" w:lineRule="auto"/>
              <w:rPr>
                <w:rFonts w:ascii="楷体_GB2312" w:hAnsi="楷体_GB2312" w:eastAsia="宋体" w:cs="宋体"/>
                <w:kern w:val="0"/>
                <w:szCs w:val="21"/>
              </w:rPr>
            </w:pPr>
            <w:r>
              <w:rPr>
                <w:rFonts w:ascii="楷体_GB2312" w:hAnsi="楷体_GB2312" w:eastAsia="宋体" w:cs="宋体"/>
                <w:kern w:val="0"/>
                <w:szCs w:val="21"/>
              </w:rPr>
              <w:t>现场软件升级</w:t>
            </w:r>
          </w:p>
        </w:tc>
        <w:tc>
          <w:tcPr>
            <w:tcW w:w="1968" w:type="pct"/>
            <w:vAlign w:val="center"/>
          </w:tcPr>
          <w:p>
            <w:pPr>
              <w:widowControl/>
              <w:spacing w:line="300" w:lineRule="auto"/>
              <w:jc w:val="left"/>
              <w:rPr>
                <w:rFonts w:ascii="楷体_GB2312" w:hAnsi="楷体_GB2312" w:eastAsia="宋体" w:cs="宋体"/>
                <w:kern w:val="0"/>
                <w:szCs w:val="21"/>
              </w:rPr>
            </w:pPr>
            <w:r>
              <w:rPr>
                <w:rFonts w:hint="eastAsia" w:ascii="楷体_GB2312" w:hAnsi="楷体_GB2312" w:eastAsia="宋体" w:cs="宋体"/>
                <w:kern w:val="0"/>
                <w:szCs w:val="21"/>
              </w:rPr>
              <w:t>首先分析软件升级的必要性和风险，配合用户进行软件升级</w:t>
            </w:r>
          </w:p>
        </w:tc>
        <w:tc>
          <w:tcPr>
            <w:tcW w:w="1415" w:type="pct"/>
          </w:tcPr>
          <w:p>
            <w:pPr>
              <w:widowControl/>
              <w:spacing w:line="300" w:lineRule="auto"/>
              <w:rPr>
                <w:rFonts w:ascii="楷体_GB2312" w:hAnsi="楷体_GB2312" w:eastAsia="宋体" w:cs="宋体"/>
                <w:kern w:val="0"/>
                <w:szCs w:val="21"/>
              </w:rPr>
            </w:pPr>
            <w:r>
              <w:rPr>
                <w:rFonts w:hint="eastAsia" w:ascii="楷体_GB2312" w:hAnsi="楷体_GB2312" w:eastAsia="宋体" w:cs="宋体"/>
                <w:kern w:val="0"/>
                <w:szCs w:val="21"/>
              </w:rPr>
              <w:t>维保单位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6" w:type="pct"/>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2</w:t>
            </w:r>
          </w:p>
        </w:tc>
        <w:tc>
          <w:tcPr>
            <w:tcW w:w="1231" w:type="pct"/>
            <w:shd w:val="clear" w:color="auto" w:fill="auto"/>
            <w:noWrap/>
            <w:vAlign w:val="center"/>
          </w:tcPr>
          <w:p>
            <w:pPr>
              <w:widowControl/>
              <w:spacing w:line="300" w:lineRule="auto"/>
              <w:rPr>
                <w:rFonts w:ascii="楷体_GB2312" w:hAnsi="楷体_GB2312" w:eastAsia="宋体" w:cs="宋体"/>
                <w:kern w:val="0"/>
                <w:szCs w:val="21"/>
              </w:rPr>
            </w:pPr>
            <w:r>
              <w:rPr>
                <w:rFonts w:ascii="楷体_GB2312" w:hAnsi="楷体_GB2312" w:eastAsia="宋体" w:cs="宋体"/>
                <w:kern w:val="0"/>
                <w:szCs w:val="21"/>
              </w:rPr>
              <w:t>现场故障诊断</w:t>
            </w:r>
          </w:p>
        </w:tc>
        <w:tc>
          <w:tcPr>
            <w:tcW w:w="1968" w:type="pct"/>
            <w:vAlign w:val="center"/>
          </w:tcPr>
          <w:p>
            <w:pPr>
              <w:widowControl/>
              <w:spacing w:line="300" w:lineRule="auto"/>
              <w:jc w:val="left"/>
              <w:rPr>
                <w:rFonts w:ascii="楷体_GB2312" w:hAnsi="楷体_GB2312" w:eastAsia="宋体" w:cs="宋体"/>
                <w:kern w:val="0"/>
                <w:szCs w:val="21"/>
              </w:rPr>
            </w:pPr>
            <w:r>
              <w:rPr>
                <w:rFonts w:ascii="楷体_GB2312" w:hAnsi="楷体_GB2312" w:eastAsia="宋体" w:cs="宋体"/>
                <w:kern w:val="0"/>
                <w:szCs w:val="21"/>
              </w:rPr>
              <w:t>按服务级别</w:t>
            </w:r>
            <w:r>
              <w:rPr>
                <w:rFonts w:hint="eastAsia" w:ascii="楷体_GB2312" w:hAnsi="楷体_GB2312" w:eastAsia="宋体" w:cs="宋体"/>
                <w:kern w:val="0"/>
                <w:szCs w:val="21"/>
              </w:rPr>
              <w:t>：</w:t>
            </w:r>
            <w:r>
              <w:rPr>
                <w:rFonts w:ascii="楷体_GB2312" w:hAnsi="楷体_GB2312" w:eastAsia="宋体" w:cs="宋体"/>
                <w:kern w:val="0"/>
                <w:szCs w:val="21"/>
              </w:rPr>
              <w:t>7×24小时</w:t>
            </w:r>
          </w:p>
        </w:tc>
        <w:tc>
          <w:tcPr>
            <w:tcW w:w="1415" w:type="pct"/>
          </w:tcPr>
          <w:p>
            <w:pPr>
              <w:widowControl/>
              <w:spacing w:line="300" w:lineRule="auto"/>
              <w:jc w:val="left"/>
              <w:rPr>
                <w:rFonts w:ascii="楷体_GB2312" w:hAnsi="楷体_GB2312" w:eastAsia="宋体" w:cs="宋体"/>
                <w:kern w:val="0"/>
                <w:szCs w:val="21"/>
              </w:rPr>
            </w:pPr>
            <w:r>
              <w:rPr>
                <w:rFonts w:hint="eastAsia" w:ascii="楷体_GB2312" w:hAnsi="楷体_GB2312" w:eastAsia="宋体" w:cs="宋体"/>
                <w:kern w:val="0"/>
                <w:szCs w:val="21"/>
              </w:rPr>
              <w:t>维保单位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6" w:type="pct"/>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3</w:t>
            </w:r>
          </w:p>
        </w:tc>
        <w:tc>
          <w:tcPr>
            <w:tcW w:w="1231" w:type="pct"/>
            <w:shd w:val="clear" w:color="auto" w:fill="auto"/>
            <w:noWrap/>
            <w:vAlign w:val="center"/>
          </w:tcPr>
          <w:p>
            <w:pPr>
              <w:widowControl/>
              <w:spacing w:line="300" w:lineRule="auto"/>
              <w:rPr>
                <w:rFonts w:ascii="楷体_GB2312" w:hAnsi="楷体_GB2312" w:eastAsia="宋体" w:cs="宋体"/>
                <w:kern w:val="0"/>
                <w:szCs w:val="21"/>
              </w:rPr>
            </w:pPr>
            <w:r>
              <w:rPr>
                <w:rFonts w:ascii="楷体_GB2312" w:hAnsi="楷体_GB2312" w:eastAsia="宋体" w:cs="宋体"/>
                <w:kern w:val="0"/>
                <w:szCs w:val="21"/>
              </w:rPr>
              <w:t>电话远程技术支持</w:t>
            </w:r>
          </w:p>
        </w:tc>
        <w:tc>
          <w:tcPr>
            <w:tcW w:w="1968" w:type="pct"/>
            <w:vAlign w:val="center"/>
          </w:tcPr>
          <w:p>
            <w:pPr>
              <w:widowControl/>
              <w:spacing w:line="300" w:lineRule="auto"/>
              <w:jc w:val="left"/>
              <w:rPr>
                <w:rFonts w:ascii="楷体_GB2312" w:hAnsi="楷体_GB2312" w:eastAsia="宋体" w:cs="宋体"/>
                <w:kern w:val="0"/>
                <w:szCs w:val="21"/>
              </w:rPr>
            </w:pPr>
            <w:r>
              <w:rPr>
                <w:rFonts w:ascii="楷体_GB2312" w:hAnsi="楷体_GB2312" w:eastAsia="宋体" w:cs="宋体"/>
                <w:kern w:val="0"/>
                <w:szCs w:val="21"/>
              </w:rPr>
              <w:t>7×24小时</w:t>
            </w:r>
          </w:p>
        </w:tc>
        <w:tc>
          <w:tcPr>
            <w:tcW w:w="1415" w:type="pct"/>
          </w:tcPr>
          <w:p>
            <w:pPr>
              <w:widowControl/>
              <w:spacing w:line="300" w:lineRule="auto"/>
              <w:jc w:val="left"/>
              <w:rPr>
                <w:rFonts w:ascii="楷体_GB2312" w:hAnsi="楷体_GB2312" w:eastAsia="宋体" w:cs="宋体"/>
                <w:kern w:val="0"/>
                <w:szCs w:val="21"/>
              </w:rPr>
            </w:pPr>
            <w:r>
              <w:rPr>
                <w:rFonts w:hint="eastAsia" w:ascii="楷体_GB2312" w:hAnsi="楷体_GB2312" w:eastAsia="宋体" w:cs="宋体"/>
                <w:kern w:val="0"/>
                <w:szCs w:val="21"/>
              </w:rPr>
              <w:t>维保单位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6" w:type="pct"/>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4</w:t>
            </w:r>
          </w:p>
        </w:tc>
        <w:tc>
          <w:tcPr>
            <w:tcW w:w="1231" w:type="pct"/>
            <w:shd w:val="clear" w:color="auto" w:fill="auto"/>
            <w:noWrap/>
            <w:vAlign w:val="center"/>
          </w:tcPr>
          <w:p>
            <w:pPr>
              <w:widowControl/>
              <w:spacing w:line="300" w:lineRule="auto"/>
              <w:rPr>
                <w:rFonts w:ascii="楷体_GB2312" w:hAnsi="楷体_GB2312" w:eastAsia="宋体" w:cs="宋体"/>
                <w:kern w:val="0"/>
                <w:szCs w:val="21"/>
              </w:rPr>
            </w:pPr>
            <w:r>
              <w:rPr>
                <w:rFonts w:ascii="楷体_GB2312" w:hAnsi="楷体_GB2312" w:eastAsia="宋体" w:cs="宋体"/>
                <w:kern w:val="0"/>
                <w:szCs w:val="21"/>
              </w:rPr>
              <w:t>问题管理系统</w:t>
            </w:r>
          </w:p>
        </w:tc>
        <w:tc>
          <w:tcPr>
            <w:tcW w:w="1968" w:type="pct"/>
            <w:vAlign w:val="center"/>
          </w:tcPr>
          <w:p>
            <w:pPr>
              <w:widowControl/>
              <w:spacing w:line="300" w:lineRule="auto"/>
              <w:jc w:val="left"/>
              <w:rPr>
                <w:rFonts w:ascii="楷体_GB2312" w:hAnsi="楷体_GB2312" w:eastAsia="宋体" w:cs="宋体"/>
                <w:kern w:val="0"/>
                <w:szCs w:val="21"/>
              </w:rPr>
            </w:pPr>
            <w:r>
              <w:rPr>
                <w:rFonts w:hint="eastAsia" w:ascii="楷体_GB2312" w:hAnsi="楷体_GB2312" w:eastAsia="宋体" w:cs="宋体"/>
                <w:kern w:val="0"/>
                <w:szCs w:val="21"/>
              </w:rPr>
              <w:t>对遇到的问题进行汇总和发布</w:t>
            </w:r>
          </w:p>
        </w:tc>
        <w:tc>
          <w:tcPr>
            <w:tcW w:w="1415" w:type="pct"/>
          </w:tcPr>
          <w:p>
            <w:pPr>
              <w:widowControl/>
              <w:spacing w:line="300" w:lineRule="auto"/>
              <w:jc w:val="left"/>
              <w:rPr>
                <w:rFonts w:ascii="楷体_GB2312" w:hAnsi="楷体_GB2312" w:eastAsia="宋体" w:cs="宋体"/>
                <w:kern w:val="0"/>
                <w:szCs w:val="21"/>
              </w:rPr>
            </w:pPr>
            <w:r>
              <w:rPr>
                <w:rFonts w:hint="eastAsia" w:ascii="楷体_GB2312" w:hAnsi="楷体_GB2312" w:eastAsia="宋体" w:cs="宋体"/>
                <w:kern w:val="0"/>
                <w:szCs w:val="21"/>
              </w:rPr>
              <w:t>维保单位</w:t>
            </w:r>
          </w:p>
        </w:tc>
      </w:tr>
    </w:tbl>
    <w:p>
      <w:pPr>
        <w:rPr>
          <w:rFonts w:ascii="楷体_GB2312" w:hAnsi="楷体_GB2312" w:eastAsia="宋体" w:cs="宋体"/>
          <w:kern w:val="0"/>
          <w:szCs w:val="21"/>
        </w:rPr>
      </w:pPr>
    </w:p>
    <w:tbl>
      <w:tblPr>
        <w:tblStyle w:val="15"/>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080"/>
        <w:gridCol w:w="1080"/>
        <w:gridCol w:w="162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0" w:type="dxa"/>
            <w:gridSpan w:val="7"/>
            <w:shd w:val="clear" w:color="auto" w:fill="auto"/>
            <w:noWrap/>
            <w:vAlign w:val="center"/>
          </w:tcPr>
          <w:p>
            <w:pPr>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接入交换机巡视典型作业计划书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0" w:type="dxa"/>
            <w:gridSpan w:val="4"/>
            <w:shd w:val="clear" w:color="auto" w:fill="CCFFFF"/>
            <w:noWrap/>
            <w:vAlign w:val="center"/>
          </w:tcPr>
          <w:p>
            <w:pPr>
              <w:widowControl/>
              <w:spacing w:line="300" w:lineRule="auto"/>
              <w:jc w:val="left"/>
              <w:rPr>
                <w:rFonts w:ascii="楷体_GB2312" w:hAnsi="楷体_GB2312" w:eastAsia="宋体" w:cs="宋体"/>
                <w:kern w:val="0"/>
                <w:szCs w:val="21"/>
              </w:rPr>
            </w:pPr>
            <w:r>
              <w:rPr>
                <w:rFonts w:hint="eastAsia" w:ascii="楷体_GB2312" w:hAnsi="楷体_GB2312" w:eastAsia="宋体" w:cs="宋体"/>
                <w:kern w:val="0"/>
                <w:szCs w:val="21"/>
              </w:rPr>
              <w:t>系统管理单位：苏州阳澄湖半岛旅游服务有限公司</w:t>
            </w:r>
          </w:p>
        </w:tc>
        <w:tc>
          <w:tcPr>
            <w:tcW w:w="4140" w:type="dxa"/>
            <w:gridSpan w:val="3"/>
            <w:shd w:val="clear" w:color="auto" w:fill="CCFFFF"/>
            <w:noWrap/>
            <w:vAlign w:val="center"/>
          </w:tcPr>
          <w:p>
            <w:pPr>
              <w:widowControl/>
              <w:spacing w:line="300" w:lineRule="auto"/>
              <w:jc w:val="left"/>
              <w:rPr>
                <w:rFonts w:ascii="楷体_GB2312" w:hAnsi="楷体_GB2312" w:eastAsia="宋体" w:cs="宋体"/>
                <w:kern w:val="0"/>
                <w:szCs w:val="21"/>
              </w:rPr>
            </w:pPr>
            <w:r>
              <w:rPr>
                <w:rFonts w:hint="eastAsia" w:ascii="楷体_GB2312" w:hAnsi="楷体_GB2312" w:eastAsia="宋体" w:cs="宋体"/>
                <w:kern w:val="0"/>
                <w:szCs w:val="21"/>
              </w:rPr>
              <w:t>维保单位：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gridSpan w:val="2"/>
            <w:shd w:val="clear" w:color="auto" w:fill="CCFFFF"/>
            <w:noWrap/>
            <w:vAlign w:val="center"/>
          </w:tcPr>
          <w:p>
            <w:pPr>
              <w:widowControl/>
              <w:spacing w:line="300" w:lineRule="auto"/>
              <w:jc w:val="left"/>
              <w:rPr>
                <w:rFonts w:ascii="楷体_GB2312" w:hAnsi="楷体_GB2312" w:eastAsia="宋体" w:cs="宋体"/>
                <w:kern w:val="0"/>
                <w:szCs w:val="21"/>
              </w:rPr>
            </w:pPr>
            <w:r>
              <w:rPr>
                <w:rFonts w:hint="eastAsia" w:ascii="楷体_GB2312" w:hAnsi="楷体_GB2312" w:eastAsia="宋体" w:cs="宋体"/>
                <w:kern w:val="0"/>
                <w:szCs w:val="21"/>
              </w:rPr>
              <w:t>设备名：接入交换机</w:t>
            </w:r>
          </w:p>
        </w:tc>
        <w:tc>
          <w:tcPr>
            <w:tcW w:w="2160" w:type="dxa"/>
            <w:gridSpan w:val="2"/>
            <w:shd w:val="clear" w:color="auto" w:fill="CCFFFF"/>
            <w:noWrap/>
            <w:vAlign w:val="center"/>
          </w:tcPr>
          <w:p>
            <w:pPr>
              <w:widowControl/>
              <w:spacing w:line="300" w:lineRule="auto"/>
              <w:jc w:val="left"/>
              <w:rPr>
                <w:rFonts w:ascii="楷体_GB2312" w:hAnsi="楷体_GB2312" w:eastAsia="宋体" w:cs="宋体"/>
                <w:kern w:val="0"/>
                <w:szCs w:val="21"/>
              </w:rPr>
            </w:pPr>
            <w:r>
              <w:rPr>
                <w:rFonts w:hint="eastAsia" w:ascii="楷体_GB2312" w:hAnsi="楷体_GB2312" w:eastAsia="宋体" w:cs="宋体"/>
                <w:kern w:val="0"/>
                <w:szCs w:val="21"/>
              </w:rPr>
              <w:t>设备型号：</w:t>
            </w:r>
            <w:r>
              <w:rPr>
                <w:rFonts w:ascii="楷体_GB2312" w:hAnsi="楷体_GB2312" w:eastAsia="宋体" w:cs="宋体"/>
                <w:kern w:val="0"/>
                <w:szCs w:val="21"/>
              </w:rPr>
              <w:t>H3C S5500-52C-EI</w:t>
            </w:r>
          </w:p>
        </w:tc>
        <w:tc>
          <w:tcPr>
            <w:tcW w:w="4140" w:type="dxa"/>
            <w:gridSpan w:val="3"/>
            <w:shd w:val="clear" w:color="auto" w:fill="CCFFFF"/>
            <w:noWrap/>
            <w:vAlign w:val="center"/>
          </w:tcPr>
          <w:p>
            <w:pPr>
              <w:widowControl/>
              <w:spacing w:line="300" w:lineRule="auto"/>
              <w:jc w:val="left"/>
              <w:rPr>
                <w:rFonts w:ascii="楷体_GB2312" w:hAnsi="楷体_GB2312" w:eastAsia="宋体" w:cs="宋体"/>
                <w:kern w:val="0"/>
                <w:szCs w:val="21"/>
              </w:rPr>
            </w:pPr>
            <w:r>
              <w:rPr>
                <w:rFonts w:hint="eastAsia" w:ascii="楷体_GB2312" w:hAnsi="楷体_GB2312" w:eastAsia="宋体" w:cs="宋体"/>
                <w:kern w:val="0"/>
                <w:szCs w:val="21"/>
              </w:rPr>
              <w:t>管理IP：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gridSpan w:val="2"/>
            <w:shd w:val="clear" w:color="auto" w:fill="CCFFFF"/>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检查内容</w:t>
            </w:r>
          </w:p>
        </w:tc>
        <w:tc>
          <w:tcPr>
            <w:tcW w:w="1080" w:type="dxa"/>
            <w:shd w:val="clear" w:color="auto" w:fill="CCFFFF"/>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参考标准</w:t>
            </w:r>
          </w:p>
        </w:tc>
        <w:tc>
          <w:tcPr>
            <w:tcW w:w="1080" w:type="dxa"/>
            <w:shd w:val="clear" w:color="auto" w:fill="CCFFFF"/>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检查结果</w:t>
            </w:r>
          </w:p>
        </w:tc>
        <w:tc>
          <w:tcPr>
            <w:tcW w:w="1620" w:type="dxa"/>
            <w:shd w:val="clear" w:color="auto" w:fill="CCFFFF"/>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检查结论</w:t>
            </w:r>
          </w:p>
        </w:tc>
        <w:tc>
          <w:tcPr>
            <w:tcW w:w="1440" w:type="dxa"/>
            <w:shd w:val="clear" w:color="auto" w:fill="CCFFFF"/>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巡视方法描述</w:t>
            </w:r>
          </w:p>
        </w:tc>
        <w:tc>
          <w:tcPr>
            <w:tcW w:w="1080" w:type="dxa"/>
            <w:shd w:val="clear" w:color="auto" w:fill="CCFFFF"/>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巡检周期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shd w:val="clear" w:color="auto" w:fill="auto"/>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硬件运行状态</w:t>
            </w:r>
          </w:p>
        </w:tc>
        <w:tc>
          <w:tcPr>
            <w:tcW w:w="1440" w:type="dxa"/>
            <w:shd w:val="clear" w:color="auto" w:fill="auto"/>
            <w:noWrap/>
            <w:vAlign w:val="center"/>
          </w:tcPr>
          <w:p>
            <w:pPr>
              <w:widowControl/>
              <w:spacing w:line="300" w:lineRule="auto"/>
              <w:rPr>
                <w:rFonts w:ascii="楷体_GB2312" w:hAnsi="楷体_GB2312" w:eastAsia="宋体" w:cs="宋体"/>
                <w:kern w:val="0"/>
                <w:szCs w:val="21"/>
              </w:rPr>
            </w:pPr>
            <w:r>
              <w:rPr>
                <w:rFonts w:hint="eastAsia" w:ascii="楷体_GB2312" w:hAnsi="楷体_GB2312" w:eastAsia="宋体" w:cs="宋体"/>
                <w:kern w:val="0"/>
                <w:szCs w:val="21"/>
              </w:rPr>
              <w:t>电源运行状态</w:t>
            </w:r>
          </w:p>
        </w:tc>
        <w:tc>
          <w:tcPr>
            <w:tcW w:w="1080" w:type="dxa"/>
            <w:shd w:val="clear" w:color="auto" w:fill="auto"/>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620" w:type="dxa"/>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□正常   □异常</w:t>
            </w:r>
          </w:p>
        </w:tc>
        <w:tc>
          <w:tcPr>
            <w:tcW w:w="1440" w:type="dxa"/>
            <w:shd w:val="clear" w:color="auto" w:fill="auto"/>
            <w:noWrap/>
            <w:vAlign w:val="center"/>
          </w:tcPr>
          <w:p>
            <w:pPr>
              <w:widowControl/>
              <w:spacing w:line="300" w:lineRule="auto"/>
              <w:rPr>
                <w:rFonts w:ascii="楷体_GB2312" w:hAnsi="楷体_GB2312" w:eastAsia="宋体" w:cs="宋体"/>
                <w:kern w:val="0"/>
                <w:szCs w:val="21"/>
              </w:rPr>
            </w:pPr>
          </w:p>
        </w:tc>
        <w:tc>
          <w:tcPr>
            <w:tcW w:w="1080" w:type="dxa"/>
            <w:shd w:val="clear" w:color="auto" w:fill="auto"/>
            <w:noWrap/>
          </w:tcPr>
          <w:p>
            <w:pPr>
              <w:spacing w:line="300" w:lineRule="auto"/>
              <w:jc w:val="center"/>
              <w:rPr>
                <w:rFonts w:ascii="楷体_GB2312" w:hAnsi="楷体_GB2312"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00" w:lineRule="auto"/>
              <w:jc w:val="left"/>
              <w:rPr>
                <w:rFonts w:ascii="楷体_GB2312" w:hAnsi="楷体_GB2312" w:eastAsia="宋体" w:cs="宋体"/>
                <w:kern w:val="0"/>
                <w:szCs w:val="21"/>
              </w:rPr>
            </w:pPr>
          </w:p>
        </w:tc>
        <w:tc>
          <w:tcPr>
            <w:tcW w:w="1440" w:type="dxa"/>
            <w:shd w:val="clear" w:color="auto" w:fill="auto"/>
            <w:noWrap/>
            <w:vAlign w:val="center"/>
          </w:tcPr>
          <w:p>
            <w:pPr>
              <w:widowControl/>
              <w:spacing w:line="300" w:lineRule="auto"/>
              <w:rPr>
                <w:rFonts w:ascii="楷体_GB2312" w:hAnsi="楷体_GB2312" w:eastAsia="宋体" w:cs="宋体"/>
                <w:kern w:val="0"/>
                <w:szCs w:val="21"/>
              </w:rPr>
            </w:pPr>
            <w:r>
              <w:rPr>
                <w:rFonts w:hint="eastAsia" w:ascii="楷体_GB2312" w:hAnsi="楷体_GB2312" w:eastAsia="宋体" w:cs="宋体"/>
                <w:kern w:val="0"/>
                <w:szCs w:val="21"/>
              </w:rPr>
              <w:t>风扇运行状态</w:t>
            </w:r>
          </w:p>
        </w:tc>
        <w:tc>
          <w:tcPr>
            <w:tcW w:w="1080" w:type="dxa"/>
            <w:shd w:val="clear" w:color="auto" w:fill="auto"/>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620" w:type="dxa"/>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□正常   □异常</w:t>
            </w:r>
          </w:p>
        </w:tc>
        <w:tc>
          <w:tcPr>
            <w:tcW w:w="1440" w:type="dxa"/>
            <w:shd w:val="clear" w:color="auto" w:fill="auto"/>
            <w:vAlign w:val="center"/>
          </w:tcPr>
          <w:p>
            <w:pPr>
              <w:widowControl/>
              <w:spacing w:line="300" w:lineRule="auto"/>
              <w:jc w:val="left"/>
              <w:rPr>
                <w:rFonts w:ascii="楷体_GB2312" w:hAnsi="楷体_GB2312" w:eastAsia="宋体" w:cs="宋体"/>
                <w:kern w:val="0"/>
                <w:szCs w:val="21"/>
              </w:rPr>
            </w:pPr>
          </w:p>
        </w:tc>
        <w:tc>
          <w:tcPr>
            <w:tcW w:w="1080" w:type="dxa"/>
            <w:shd w:val="clear" w:color="auto" w:fill="auto"/>
            <w:noWrap/>
          </w:tcPr>
          <w:p>
            <w:pPr>
              <w:spacing w:line="300" w:lineRule="auto"/>
              <w:jc w:val="center"/>
              <w:rPr>
                <w:rFonts w:ascii="楷体_GB2312" w:hAnsi="楷体_GB2312"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00" w:lineRule="auto"/>
              <w:jc w:val="left"/>
              <w:rPr>
                <w:rFonts w:ascii="楷体_GB2312" w:hAnsi="楷体_GB2312" w:eastAsia="宋体" w:cs="宋体"/>
                <w:kern w:val="0"/>
                <w:szCs w:val="21"/>
              </w:rPr>
            </w:pPr>
          </w:p>
        </w:tc>
        <w:tc>
          <w:tcPr>
            <w:tcW w:w="1440" w:type="dxa"/>
            <w:shd w:val="clear" w:color="auto" w:fill="auto"/>
            <w:noWrap/>
            <w:vAlign w:val="center"/>
          </w:tcPr>
          <w:p>
            <w:pPr>
              <w:widowControl/>
              <w:spacing w:line="300" w:lineRule="auto"/>
              <w:rPr>
                <w:rFonts w:ascii="楷体_GB2312" w:hAnsi="楷体_GB2312" w:eastAsia="宋体" w:cs="宋体"/>
                <w:kern w:val="0"/>
                <w:szCs w:val="21"/>
              </w:rPr>
            </w:pPr>
            <w:r>
              <w:rPr>
                <w:rFonts w:hint="eastAsia" w:ascii="楷体_GB2312" w:hAnsi="楷体_GB2312" w:eastAsia="宋体" w:cs="宋体"/>
                <w:kern w:val="0"/>
                <w:szCs w:val="21"/>
              </w:rPr>
              <w:t>模块运行状态</w:t>
            </w:r>
          </w:p>
        </w:tc>
        <w:tc>
          <w:tcPr>
            <w:tcW w:w="1080" w:type="dxa"/>
            <w:shd w:val="clear" w:color="auto" w:fill="auto"/>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620" w:type="dxa"/>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□正常   □异常</w:t>
            </w:r>
          </w:p>
        </w:tc>
        <w:tc>
          <w:tcPr>
            <w:tcW w:w="1440" w:type="dxa"/>
            <w:shd w:val="clear" w:color="auto" w:fill="auto"/>
            <w:vAlign w:val="center"/>
          </w:tcPr>
          <w:p>
            <w:pPr>
              <w:widowControl/>
              <w:spacing w:line="300" w:lineRule="auto"/>
              <w:jc w:val="left"/>
              <w:rPr>
                <w:rFonts w:ascii="楷体_GB2312" w:hAnsi="楷体_GB2312" w:eastAsia="宋体" w:cs="宋体"/>
                <w:kern w:val="0"/>
                <w:szCs w:val="21"/>
              </w:rPr>
            </w:pPr>
          </w:p>
        </w:tc>
        <w:tc>
          <w:tcPr>
            <w:tcW w:w="1080" w:type="dxa"/>
            <w:shd w:val="clear" w:color="auto" w:fill="auto"/>
            <w:noWrap/>
          </w:tcPr>
          <w:p>
            <w:pPr>
              <w:spacing w:line="300" w:lineRule="auto"/>
              <w:jc w:val="center"/>
              <w:rPr>
                <w:rFonts w:ascii="楷体_GB2312" w:hAnsi="楷体_GB2312"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shd w:val="clear" w:color="auto" w:fill="auto"/>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系统运行状态检查</w:t>
            </w:r>
          </w:p>
        </w:tc>
        <w:tc>
          <w:tcPr>
            <w:tcW w:w="1440" w:type="dxa"/>
            <w:shd w:val="clear" w:color="auto" w:fill="auto"/>
            <w:noWrap/>
            <w:vAlign w:val="center"/>
          </w:tcPr>
          <w:p>
            <w:pPr>
              <w:widowControl/>
              <w:spacing w:line="300" w:lineRule="auto"/>
              <w:rPr>
                <w:rFonts w:ascii="楷体_GB2312" w:hAnsi="楷体_GB2312" w:eastAsia="宋体" w:cs="宋体"/>
                <w:kern w:val="0"/>
                <w:szCs w:val="21"/>
              </w:rPr>
            </w:pPr>
            <w:r>
              <w:rPr>
                <w:rFonts w:hint="eastAsia" w:ascii="楷体_GB2312" w:hAnsi="楷体_GB2312" w:eastAsia="宋体" w:cs="宋体"/>
                <w:kern w:val="0"/>
                <w:szCs w:val="21"/>
              </w:rPr>
              <w:t>VLAN  状态</w:t>
            </w:r>
          </w:p>
        </w:tc>
        <w:tc>
          <w:tcPr>
            <w:tcW w:w="1080" w:type="dxa"/>
            <w:shd w:val="clear" w:color="auto" w:fill="auto"/>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620" w:type="dxa"/>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□正常   □异常</w:t>
            </w:r>
          </w:p>
        </w:tc>
        <w:tc>
          <w:tcPr>
            <w:tcW w:w="1440" w:type="dxa"/>
            <w:shd w:val="clear" w:color="auto" w:fill="auto"/>
            <w:noWrap/>
            <w:vAlign w:val="center"/>
          </w:tcPr>
          <w:p>
            <w:pPr>
              <w:widowControl/>
              <w:spacing w:line="300" w:lineRule="auto"/>
              <w:rPr>
                <w:rFonts w:ascii="楷体_GB2312" w:hAnsi="楷体_GB2312" w:eastAsia="宋体" w:cs="宋体"/>
                <w:kern w:val="0"/>
                <w:szCs w:val="21"/>
              </w:rPr>
            </w:pPr>
          </w:p>
        </w:tc>
        <w:tc>
          <w:tcPr>
            <w:tcW w:w="1080" w:type="dxa"/>
            <w:shd w:val="clear" w:color="auto" w:fill="auto"/>
            <w:noWrap/>
          </w:tcPr>
          <w:p>
            <w:pPr>
              <w:spacing w:line="300" w:lineRule="auto"/>
              <w:jc w:val="center"/>
              <w:rPr>
                <w:rFonts w:ascii="楷体_GB2312" w:hAnsi="楷体_GB2312"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0" w:type="dxa"/>
            <w:vMerge w:val="continue"/>
            <w:shd w:val="clear" w:color="auto" w:fill="auto"/>
            <w:vAlign w:val="center"/>
          </w:tcPr>
          <w:p>
            <w:pPr>
              <w:widowControl/>
              <w:spacing w:line="300" w:lineRule="auto"/>
              <w:jc w:val="center"/>
              <w:rPr>
                <w:rFonts w:ascii="楷体_GB2312" w:hAnsi="楷体_GB2312" w:eastAsia="宋体" w:cs="宋体"/>
                <w:kern w:val="0"/>
                <w:szCs w:val="21"/>
              </w:rPr>
            </w:pPr>
          </w:p>
        </w:tc>
        <w:tc>
          <w:tcPr>
            <w:tcW w:w="1440" w:type="dxa"/>
            <w:shd w:val="clear" w:color="auto" w:fill="auto"/>
            <w:noWrap/>
            <w:vAlign w:val="center"/>
          </w:tcPr>
          <w:p>
            <w:pPr>
              <w:widowControl/>
              <w:spacing w:line="300" w:lineRule="auto"/>
              <w:rPr>
                <w:rFonts w:ascii="楷体_GB2312" w:hAnsi="楷体_GB2312" w:eastAsia="宋体" w:cs="宋体"/>
                <w:kern w:val="0"/>
                <w:szCs w:val="21"/>
              </w:rPr>
            </w:pPr>
            <w:r>
              <w:rPr>
                <w:rFonts w:hint="eastAsia" w:ascii="楷体_GB2312" w:hAnsi="楷体_GB2312" w:eastAsia="宋体" w:cs="宋体"/>
                <w:kern w:val="0"/>
                <w:szCs w:val="21"/>
              </w:rPr>
              <w:t>配置  状态</w:t>
            </w:r>
          </w:p>
        </w:tc>
        <w:tc>
          <w:tcPr>
            <w:tcW w:w="1080" w:type="dxa"/>
            <w:shd w:val="clear" w:color="auto" w:fill="auto"/>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620" w:type="dxa"/>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□正常   □异常</w:t>
            </w:r>
          </w:p>
        </w:tc>
        <w:tc>
          <w:tcPr>
            <w:tcW w:w="1440" w:type="dxa"/>
            <w:shd w:val="clear" w:color="auto" w:fill="auto"/>
            <w:noWrap/>
            <w:vAlign w:val="center"/>
          </w:tcPr>
          <w:p>
            <w:pPr>
              <w:widowControl/>
              <w:spacing w:line="300" w:lineRule="auto"/>
              <w:rPr>
                <w:rFonts w:ascii="楷体_GB2312" w:hAnsi="楷体_GB2312" w:eastAsia="宋体" w:cs="宋体"/>
                <w:kern w:val="0"/>
                <w:szCs w:val="21"/>
              </w:rPr>
            </w:pPr>
          </w:p>
        </w:tc>
        <w:tc>
          <w:tcPr>
            <w:tcW w:w="1080" w:type="dxa"/>
            <w:shd w:val="clear" w:color="auto" w:fill="auto"/>
            <w:noWrap/>
          </w:tcPr>
          <w:p>
            <w:pPr>
              <w:spacing w:line="300" w:lineRule="auto"/>
              <w:jc w:val="center"/>
              <w:rPr>
                <w:rFonts w:ascii="楷体_GB2312" w:hAnsi="楷体_GB2312"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0" w:type="dxa"/>
            <w:vMerge w:val="continue"/>
            <w:shd w:val="clear" w:color="auto" w:fill="auto"/>
            <w:vAlign w:val="center"/>
          </w:tcPr>
          <w:p>
            <w:pPr>
              <w:widowControl/>
              <w:spacing w:line="300" w:lineRule="auto"/>
              <w:jc w:val="center"/>
              <w:rPr>
                <w:rFonts w:ascii="楷体_GB2312" w:hAnsi="楷体_GB2312" w:eastAsia="宋体" w:cs="宋体"/>
                <w:kern w:val="0"/>
                <w:szCs w:val="21"/>
              </w:rPr>
            </w:pPr>
          </w:p>
        </w:tc>
        <w:tc>
          <w:tcPr>
            <w:tcW w:w="1440" w:type="dxa"/>
            <w:shd w:val="clear" w:color="auto" w:fill="auto"/>
            <w:noWrap/>
            <w:vAlign w:val="center"/>
          </w:tcPr>
          <w:p>
            <w:pPr>
              <w:widowControl/>
              <w:spacing w:line="300" w:lineRule="auto"/>
              <w:rPr>
                <w:rFonts w:ascii="楷体_GB2312" w:hAnsi="楷体_GB2312" w:eastAsia="宋体" w:cs="宋体"/>
                <w:kern w:val="0"/>
                <w:szCs w:val="21"/>
              </w:rPr>
            </w:pPr>
            <w:r>
              <w:rPr>
                <w:rFonts w:hint="eastAsia" w:ascii="楷体_GB2312" w:hAnsi="楷体_GB2312" w:eastAsia="宋体" w:cs="宋体"/>
                <w:kern w:val="0"/>
                <w:szCs w:val="21"/>
              </w:rPr>
              <w:t>OSPF  状态</w:t>
            </w:r>
          </w:p>
        </w:tc>
        <w:tc>
          <w:tcPr>
            <w:tcW w:w="1080" w:type="dxa"/>
            <w:shd w:val="clear" w:color="auto" w:fill="auto"/>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620" w:type="dxa"/>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□正常   □异常</w:t>
            </w:r>
          </w:p>
        </w:tc>
        <w:tc>
          <w:tcPr>
            <w:tcW w:w="1440" w:type="dxa"/>
            <w:shd w:val="clear" w:color="auto" w:fill="auto"/>
            <w:noWrap/>
            <w:vAlign w:val="center"/>
          </w:tcPr>
          <w:p>
            <w:pPr>
              <w:widowControl/>
              <w:spacing w:line="300" w:lineRule="auto"/>
              <w:rPr>
                <w:rFonts w:ascii="楷体_GB2312" w:hAnsi="楷体_GB2312" w:eastAsia="宋体" w:cs="宋体"/>
                <w:kern w:val="0"/>
                <w:szCs w:val="21"/>
              </w:rPr>
            </w:pPr>
          </w:p>
        </w:tc>
        <w:tc>
          <w:tcPr>
            <w:tcW w:w="1080" w:type="dxa"/>
            <w:shd w:val="clear" w:color="auto" w:fill="auto"/>
            <w:noWrap/>
          </w:tcPr>
          <w:p>
            <w:pPr>
              <w:spacing w:line="300" w:lineRule="auto"/>
              <w:jc w:val="center"/>
              <w:rPr>
                <w:rFonts w:ascii="楷体_GB2312" w:hAnsi="楷体_GB2312"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0" w:type="dxa"/>
            <w:shd w:val="clear" w:color="auto" w:fill="auto"/>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日志检查</w:t>
            </w:r>
          </w:p>
        </w:tc>
        <w:tc>
          <w:tcPr>
            <w:tcW w:w="1440" w:type="dxa"/>
            <w:shd w:val="clear" w:color="auto" w:fill="auto"/>
            <w:noWrap/>
            <w:vAlign w:val="center"/>
          </w:tcPr>
          <w:p>
            <w:pPr>
              <w:widowControl/>
              <w:spacing w:line="300" w:lineRule="auto"/>
              <w:rPr>
                <w:rFonts w:ascii="楷体_GB2312" w:hAnsi="楷体_GB2312" w:eastAsia="宋体" w:cs="宋体"/>
                <w:kern w:val="0"/>
                <w:szCs w:val="21"/>
              </w:rPr>
            </w:pPr>
            <w:r>
              <w:rPr>
                <w:rFonts w:hint="eastAsia" w:ascii="楷体_GB2312" w:hAnsi="楷体_GB2312" w:eastAsia="宋体" w:cs="宋体"/>
                <w:kern w:val="0"/>
                <w:szCs w:val="21"/>
              </w:rPr>
              <w:t>日志  状态</w:t>
            </w:r>
          </w:p>
        </w:tc>
        <w:tc>
          <w:tcPr>
            <w:tcW w:w="1080" w:type="dxa"/>
            <w:shd w:val="clear" w:color="auto" w:fill="auto"/>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620" w:type="dxa"/>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□正常   □异常</w:t>
            </w:r>
          </w:p>
        </w:tc>
        <w:tc>
          <w:tcPr>
            <w:tcW w:w="1440" w:type="dxa"/>
            <w:shd w:val="clear" w:color="auto" w:fill="auto"/>
            <w:noWrap/>
            <w:vAlign w:val="center"/>
          </w:tcPr>
          <w:p>
            <w:pPr>
              <w:widowControl/>
              <w:spacing w:line="300" w:lineRule="auto"/>
              <w:rPr>
                <w:rFonts w:ascii="楷体_GB2312" w:hAnsi="楷体_GB2312" w:eastAsia="宋体" w:cs="宋体"/>
                <w:kern w:val="0"/>
                <w:szCs w:val="21"/>
              </w:rPr>
            </w:pPr>
          </w:p>
        </w:tc>
        <w:tc>
          <w:tcPr>
            <w:tcW w:w="1080" w:type="dxa"/>
            <w:shd w:val="clear" w:color="auto" w:fill="auto"/>
            <w:noWrap/>
          </w:tcPr>
          <w:p>
            <w:pPr>
              <w:spacing w:line="300" w:lineRule="auto"/>
              <w:jc w:val="center"/>
              <w:rPr>
                <w:rFonts w:ascii="楷体_GB2312" w:hAnsi="楷体_GB2312"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shd w:val="clear" w:color="auto" w:fill="auto"/>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其他检查内容</w:t>
            </w:r>
          </w:p>
        </w:tc>
        <w:tc>
          <w:tcPr>
            <w:tcW w:w="1440" w:type="dxa"/>
            <w:shd w:val="clear" w:color="auto" w:fill="auto"/>
            <w:noWrap/>
            <w:vAlign w:val="center"/>
          </w:tcPr>
          <w:p>
            <w:pPr>
              <w:widowControl/>
              <w:spacing w:line="300" w:lineRule="auto"/>
              <w:rPr>
                <w:rFonts w:ascii="楷体_GB2312" w:hAnsi="楷体_GB2312" w:eastAsia="宋体" w:cs="宋体"/>
                <w:kern w:val="0"/>
                <w:szCs w:val="21"/>
              </w:rPr>
            </w:pPr>
          </w:p>
        </w:tc>
        <w:tc>
          <w:tcPr>
            <w:tcW w:w="1080" w:type="dxa"/>
            <w:shd w:val="clear" w:color="auto" w:fill="auto"/>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620" w:type="dxa"/>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□正常   □异常</w:t>
            </w:r>
          </w:p>
        </w:tc>
        <w:tc>
          <w:tcPr>
            <w:tcW w:w="144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shd w:val="clear" w:color="auto" w:fill="auto"/>
            <w:vAlign w:val="center"/>
          </w:tcPr>
          <w:p>
            <w:pPr>
              <w:widowControl/>
              <w:spacing w:line="300" w:lineRule="auto"/>
              <w:jc w:val="center"/>
              <w:rPr>
                <w:rFonts w:ascii="楷体_GB2312" w:hAnsi="楷体_GB2312" w:eastAsia="宋体" w:cs="宋体"/>
                <w:kern w:val="0"/>
                <w:szCs w:val="21"/>
              </w:rPr>
            </w:pPr>
          </w:p>
        </w:tc>
        <w:tc>
          <w:tcPr>
            <w:tcW w:w="1440" w:type="dxa"/>
            <w:shd w:val="clear" w:color="auto" w:fill="auto"/>
            <w:noWrap/>
            <w:vAlign w:val="center"/>
          </w:tcPr>
          <w:p>
            <w:pPr>
              <w:widowControl/>
              <w:spacing w:line="300" w:lineRule="auto"/>
              <w:rPr>
                <w:rFonts w:ascii="楷体_GB2312" w:hAnsi="楷体_GB2312" w:eastAsia="宋体" w:cs="宋体"/>
                <w:kern w:val="0"/>
                <w:szCs w:val="21"/>
              </w:rPr>
            </w:pPr>
          </w:p>
        </w:tc>
        <w:tc>
          <w:tcPr>
            <w:tcW w:w="1080" w:type="dxa"/>
            <w:shd w:val="clear" w:color="auto" w:fill="auto"/>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620" w:type="dxa"/>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□正常   □异常</w:t>
            </w:r>
          </w:p>
        </w:tc>
        <w:tc>
          <w:tcPr>
            <w:tcW w:w="144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shd w:val="clear" w:color="auto" w:fill="auto"/>
            <w:vAlign w:val="center"/>
          </w:tcPr>
          <w:p>
            <w:pPr>
              <w:widowControl/>
              <w:spacing w:line="300" w:lineRule="auto"/>
              <w:jc w:val="center"/>
              <w:rPr>
                <w:rFonts w:ascii="楷体_GB2312" w:hAnsi="楷体_GB2312" w:eastAsia="宋体" w:cs="宋体"/>
                <w:kern w:val="0"/>
                <w:szCs w:val="21"/>
              </w:rPr>
            </w:pPr>
          </w:p>
        </w:tc>
        <w:tc>
          <w:tcPr>
            <w:tcW w:w="1440" w:type="dxa"/>
            <w:shd w:val="clear" w:color="auto" w:fill="auto"/>
            <w:noWrap/>
            <w:vAlign w:val="center"/>
          </w:tcPr>
          <w:p>
            <w:pPr>
              <w:widowControl/>
              <w:spacing w:line="300" w:lineRule="auto"/>
              <w:rPr>
                <w:rFonts w:ascii="楷体_GB2312" w:hAnsi="楷体_GB2312" w:eastAsia="宋体" w:cs="宋体"/>
                <w:kern w:val="0"/>
                <w:szCs w:val="21"/>
              </w:rPr>
            </w:pPr>
          </w:p>
        </w:tc>
        <w:tc>
          <w:tcPr>
            <w:tcW w:w="1080" w:type="dxa"/>
            <w:shd w:val="clear" w:color="auto" w:fill="auto"/>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620" w:type="dxa"/>
            <w:shd w:val="clear" w:color="auto" w:fill="auto"/>
            <w:noWrap/>
            <w:vAlign w:val="center"/>
          </w:tcPr>
          <w:p>
            <w:pPr>
              <w:widowControl/>
              <w:spacing w:line="300" w:lineRule="auto"/>
              <w:jc w:val="center"/>
              <w:rPr>
                <w:rFonts w:ascii="楷体_GB2312" w:hAnsi="楷体_GB2312" w:eastAsia="宋体" w:cs="宋体"/>
                <w:kern w:val="0"/>
                <w:szCs w:val="21"/>
              </w:rPr>
            </w:pPr>
            <w:r>
              <w:rPr>
                <w:rFonts w:hint="eastAsia" w:ascii="楷体_GB2312" w:hAnsi="楷体_GB2312" w:eastAsia="宋体" w:cs="宋体"/>
                <w:kern w:val="0"/>
                <w:szCs w:val="21"/>
              </w:rPr>
              <w:t>□正常   □异常</w:t>
            </w:r>
          </w:p>
        </w:tc>
        <w:tc>
          <w:tcPr>
            <w:tcW w:w="1440" w:type="dxa"/>
            <w:shd w:val="clear" w:color="auto" w:fill="auto"/>
            <w:noWrap/>
            <w:vAlign w:val="center"/>
          </w:tcPr>
          <w:p>
            <w:pPr>
              <w:widowControl/>
              <w:spacing w:line="300" w:lineRule="auto"/>
              <w:jc w:val="center"/>
              <w:rPr>
                <w:rFonts w:ascii="楷体_GB2312" w:hAnsi="楷体_GB2312" w:eastAsia="宋体" w:cs="宋体"/>
                <w:kern w:val="0"/>
                <w:szCs w:val="21"/>
              </w:rPr>
            </w:pPr>
          </w:p>
        </w:tc>
        <w:tc>
          <w:tcPr>
            <w:tcW w:w="1080" w:type="dxa"/>
            <w:shd w:val="clear" w:color="auto" w:fill="auto"/>
            <w:noWrap/>
            <w:vAlign w:val="center"/>
          </w:tcPr>
          <w:p>
            <w:pPr>
              <w:widowControl/>
              <w:spacing w:line="300" w:lineRule="auto"/>
              <w:jc w:val="center"/>
              <w:rPr>
                <w:rFonts w:ascii="楷体_GB2312" w:hAnsi="楷体_GB2312" w:eastAsia="宋体" w:cs="宋体"/>
                <w:kern w:val="0"/>
                <w:szCs w:val="21"/>
              </w:rPr>
            </w:pPr>
          </w:p>
        </w:tc>
      </w:tr>
    </w:tbl>
    <w:p>
      <w:pPr>
        <w:rPr>
          <w:rFonts w:ascii="楷体_GB2312" w:hAnsi="楷体_GB2312" w:eastAsia="宋体" w:cs="宋体"/>
          <w:kern w:val="0"/>
          <w:szCs w:val="21"/>
        </w:rPr>
      </w:pPr>
    </w:p>
    <w:p>
      <w:pPr>
        <w:numPr>
          <w:ilvl w:val="0"/>
          <w:numId w:val="1"/>
        </w:numPr>
        <w:snapToGrid w:val="0"/>
        <w:spacing w:before="312" w:beforeLines="100" w:line="360" w:lineRule="auto"/>
        <w:rPr>
          <w:rFonts w:ascii="楷体_GB2312" w:hAnsi="楷体_GB2312" w:eastAsia="宋体" w:cs="宋体"/>
          <w:kern w:val="0"/>
          <w:szCs w:val="21"/>
        </w:rPr>
      </w:pPr>
      <w:r>
        <w:rPr>
          <w:rFonts w:hint="eastAsia" w:ascii="楷体_GB2312" w:hAnsi="楷体_GB2312" w:eastAsia="宋体" w:cs="宋体"/>
          <w:kern w:val="0"/>
          <w:szCs w:val="21"/>
        </w:rPr>
        <w:t>现场</w:t>
      </w:r>
      <w:r>
        <w:rPr>
          <w:rFonts w:ascii="楷体_GB2312" w:hAnsi="楷体_GB2312" w:eastAsia="宋体" w:cs="宋体"/>
          <w:kern w:val="0"/>
          <w:szCs w:val="21"/>
        </w:rPr>
        <w:t>巡检服务</w:t>
      </w:r>
    </w:p>
    <w:p>
      <w:pPr>
        <w:spacing w:line="360" w:lineRule="auto"/>
        <w:ind w:firstLine="420" w:firstLineChars="200"/>
        <w:rPr>
          <w:rFonts w:ascii="楷体_GB2312" w:hAnsi="楷体_GB2312" w:eastAsia="宋体" w:cs="宋体"/>
          <w:kern w:val="0"/>
          <w:szCs w:val="21"/>
        </w:rPr>
      </w:pPr>
      <w:r>
        <w:rPr>
          <w:rFonts w:hint="eastAsia" w:ascii="楷体_GB2312" w:hAnsi="楷体_GB2312" w:eastAsia="宋体" w:cs="宋体"/>
          <w:kern w:val="0"/>
          <w:szCs w:val="21"/>
        </w:rPr>
        <w:t>现场</w:t>
      </w:r>
      <w:r>
        <w:rPr>
          <w:rFonts w:ascii="楷体_GB2312" w:hAnsi="楷体_GB2312" w:eastAsia="宋体" w:cs="宋体"/>
          <w:kern w:val="0"/>
          <w:szCs w:val="21"/>
        </w:rPr>
        <w:t>巡检服务是</w:t>
      </w:r>
      <w:r>
        <w:rPr>
          <w:rFonts w:hint="eastAsia" w:ascii="楷体_GB2312" w:hAnsi="楷体_GB2312" w:eastAsia="宋体" w:cs="宋体"/>
          <w:kern w:val="0"/>
          <w:szCs w:val="21"/>
        </w:rPr>
        <w:t>维保单位</w:t>
      </w:r>
      <w:r>
        <w:rPr>
          <w:rFonts w:ascii="楷体_GB2312" w:hAnsi="楷体_GB2312" w:eastAsia="宋体" w:cs="宋体"/>
          <w:kern w:val="0"/>
          <w:szCs w:val="21"/>
        </w:rPr>
        <w:t>对客户的设备及网络进行全面检查的服务项目，通过该服务可使客户获得设备运行的第一手资料，最大可能地发现存在的隐患，保障设备稳定运行。同时，</w:t>
      </w:r>
      <w:r>
        <w:rPr>
          <w:rFonts w:hint="eastAsia" w:ascii="楷体_GB2312" w:hAnsi="楷体_GB2312" w:eastAsia="宋体" w:cs="宋体"/>
          <w:kern w:val="0"/>
          <w:szCs w:val="21"/>
        </w:rPr>
        <w:t>维保单位</w:t>
      </w:r>
      <w:r>
        <w:rPr>
          <w:rFonts w:ascii="楷体_GB2312" w:hAnsi="楷体_GB2312" w:eastAsia="宋体" w:cs="宋体"/>
          <w:kern w:val="0"/>
          <w:szCs w:val="21"/>
        </w:rPr>
        <w:t>将有针对性地提出预警及解决建议，使客户能够提早预防，最大限度降低运</w:t>
      </w:r>
      <w:r>
        <w:rPr>
          <w:rFonts w:hint="eastAsia" w:ascii="楷体_GB2312" w:hAnsi="楷体_GB2312" w:eastAsia="宋体" w:cs="宋体"/>
          <w:kern w:val="0"/>
          <w:szCs w:val="21"/>
        </w:rPr>
        <w:t>营</w:t>
      </w:r>
      <w:r>
        <w:rPr>
          <w:rFonts w:ascii="楷体_GB2312" w:hAnsi="楷体_GB2312" w:eastAsia="宋体" w:cs="宋体"/>
          <w:kern w:val="0"/>
          <w:szCs w:val="21"/>
        </w:rPr>
        <w:t>风险。巡检包括的内容如下：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116"/>
        <w:gridCol w:w="2260"/>
        <w:gridCol w:w="174"/>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jc w:val="center"/>
              <w:rPr>
                <w:rFonts w:ascii="楷体_GB2312" w:hAnsi="楷体_GB2312" w:eastAsia="宋体" w:cs="宋体"/>
                <w:kern w:val="0"/>
                <w:szCs w:val="21"/>
              </w:rPr>
            </w:pPr>
            <w:r>
              <w:rPr>
                <w:rFonts w:ascii="楷体_GB2312" w:hAnsi="楷体_GB2312" w:eastAsia="宋体" w:cs="宋体"/>
                <w:kern w:val="0"/>
                <w:szCs w:val="21"/>
              </w:rPr>
              <w:t>编号</w:t>
            </w:r>
          </w:p>
        </w:tc>
        <w:tc>
          <w:tcPr>
            <w:tcW w:w="6850" w:type="dxa"/>
            <w:gridSpan w:val="4"/>
          </w:tcPr>
          <w:p>
            <w:pPr>
              <w:jc w:val="center"/>
              <w:rPr>
                <w:rFonts w:ascii="楷体_GB2312" w:hAnsi="楷体_GB2312" w:eastAsia="宋体" w:cs="宋体"/>
                <w:kern w:val="0"/>
                <w:szCs w:val="21"/>
              </w:rPr>
            </w:pPr>
            <w:r>
              <w:rPr>
                <w:rFonts w:ascii="楷体_GB2312" w:hAnsi="楷体_GB2312" w:eastAsia="宋体" w:cs="宋体"/>
                <w:kern w:val="0"/>
                <w:szCs w:val="21"/>
              </w:rPr>
              <w:t>巡检内容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restart"/>
            <w:vAlign w:val="center"/>
          </w:tcPr>
          <w:p>
            <w:pPr>
              <w:spacing w:after="120"/>
              <w:jc w:val="center"/>
              <w:rPr>
                <w:rFonts w:ascii="楷体_GB2312" w:hAnsi="楷体_GB2312" w:eastAsia="宋体" w:cs="宋体"/>
                <w:kern w:val="0"/>
                <w:szCs w:val="21"/>
              </w:rPr>
            </w:pPr>
            <w:r>
              <w:rPr>
                <w:rFonts w:ascii="楷体_GB2312" w:hAnsi="楷体_GB2312" w:eastAsia="宋体" w:cs="宋体"/>
                <w:kern w:val="0"/>
                <w:szCs w:val="21"/>
              </w:rPr>
              <w:t>1</w:t>
            </w:r>
          </w:p>
        </w:tc>
        <w:tc>
          <w:tcPr>
            <w:tcW w:w="6850" w:type="dxa"/>
            <w:gridSpan w:val="4"/>
          </w:tcPr>
          <w:p>
            <w:pPr>
              <w:jc w:val="center"/>
              <w:rPr>
                <w:rFonts w:ascii="楷体_GB2312" w:hAnsi="楷体_GB2312" w:eastAsia="宋体" w:cs="宋体"/>
                <w:kern w:val="0"/>
                <w:szCs w:val="21"/>
              </w:rPr>
            </w:pPr>
            <w:r>
              <w:rPr>
                <w:rFonts w:ascii="楷体_GB2312" w:hAnsi="楷体_GB2312" w:eastAsia="宋体" w:cs="宋体"/>
                <w:kern w:val="0"/>
                <w:szCs w:val="21"/>
              </w:rPr>
              <w:t>硬件运行状态检查项目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vAlign w:val="center"/>
          </w:tcPr>
          <w:p>
            <w:pPr>
              <w:jc w:val="center"/>
              <w:rPr>
                <w:rFonts w:ascii="楷体_GB2312" w:hAnsi="楷体_GB2312" w:eastAsia="宋体" w:cs="宋体"/>
                <w:kern w:val="0"/>
                <w:szCs w:val="21"/>
              </w:rPr>
            </w:pPr>
          </w:p>
        </w:tc>
        <w:tc>
          <w:tcPr>
            <w:tcW w:w="2116" w:type="dxa"/>
          </w:tcPr>
          <w:p>
            <w:pPr>
              <w:rPr>
                <w:rFonts w:ascii="楷体_GB2312" w:hAnsi="楷体_GB2312" w:eastAsia="宋体" w:cs="宋体"/>
                <w:kern w:val="0"/>
                <w:szCs w:val="21"/>
              </w:rPr>
            </w:pPr>
            <w:r>
              <w:rPr>
                <w:rFonts w:ascii="楷体_GB2312" w:hAnsi="楷体_GB2312" w:eastAsia="宋体" w:cs="宋体"/>
                <w:kern w:val="0"/>
                <w:szCs w:val="21"/>
              </w:rPr>
              <w:t>单板状态检查</w:t>
            </w:r>
          </w:p>
        </w:tc>
        <w:tc>
          <w:tcPr>
            <w:tcW w:w="2260" w:type="dxa"/>
          </w:tcPr>
          <w:p>
            <w:pPr>
              <w:rPr>
                <w:rFonts w:ascii="楷体_GB2312" w:hAnsi="楷体_GB2312" w:eastAsia="宋体" w:cs="宋体"/>
                <w:kern w:val="0"/>
                <w:szCs w:val="21"/>
              </w:rPr>
            </w:pPr>
            <w:r>
              <w:rPr>
                <w:rFonts w:ascii="楷体_GB2312" w:hAnsi="楷体_GB2312" w:eastAsia="宋体" w:cs="宋体"/>
                <w:kern w:val="0"/>
                <w:szCs w:val="21"/>
              </w:rPr>
              <w:t>电源模块状态检查</w:t>
            </w:r>
          </w:p>
        </w:tc>
        <w:tc>
          <w:tcPr>
            <w:tcW w:w="2474" w:type="dxa"/>
            <w:gridSpan w:val="2"/>
          </w:tcPr>
          <w:p>
            <w:pPr>
              <w:rPr>
                <w:rFonts w:ascii="楷体_GB2312" w:hAnsi="楷体_GB2312" w:eastAsia="宋体" w:cs="宋体"/>
                <w:kern w:val="0"/>
                <w:szCs w:val="21"/>
              </w:rPr>
            </w:pPr>
            <w:r>
              <w:rPr>
                <w:rFonts w:ascii="楷体_GB2312" w:hAnsi="楷体_GB2312" w:eastAsia="宋体" w:cs="宋体"/>
                <w:kern w:val="0"/>
                <w:szCs w:val="21"/>
              </w:rPr>
              <w:t>风扇状态检查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vAlign w:val="center"/>
          </w:tcPr>
          <w:p>
            <w:pPr>
              <w:jc w:val="center"/>
              <w:rPr>
                <w:rFonts w:ascii="楷体_GB2312" w:hAnsi="楷体_GB2312" w:eastAsia="宋体" w:cs="宋体"/>
                <w:kern w:val="0"/>
                <w:szCs w:val="21"/>
              </w:rPr>
            </w:pPr>
          </w:p>
        </w:tc>
        <w:tc>
          <w:tcPr>
            <w:tcW w:w="2116" w:type="dxa"/>
          </w:tcPr>
          <w:p>
            <w:pPr>
              <w:rPr>
                <w:rFonts w:ascii="楷体_GB2312" w:hAnsi="楷体_GB2312" w:eastAsia="宋体" w:cs="宋体"/>
                <w:kern w:val="0"/>
                <w:szCs w:val="21"/>
              </w:rPr>
            </w:pPr>
            <w:r>
              <w:rPr>
                <w:rFonts w:ascii="楷体_GB2312" w:hAnsi="楷体_GB2312" w:eastAsia="宋体" w:cs="宋体"/>
                <w:kern w:val="0"/>
                <w:szCs w:val="21"/>
              </w:rPr>
              <w:t>整机指示灯状态检查</w:t>
            </w:r>
          </w:p>
        </w:tc>
        <w:tc>
          <w:tcPr>
            <w:tcW w:w="2260" w:type="dxa"/>
          </w:tcPr>
          <w:p>
            <w:pPr>
              <w:rPr>
                <w:rFonts w:ascii="楷体_GB2312" w:hAnsi="楷体_GB2312" w:eastAsia="宋体" w:cs="宋体"/>
                <w:kern w:val="0"/>
                <w:szCs w:val="21"/>
              </w:rPr>
            </w:pPr>
            <w:r>
              <w:rPr>
                <w:rFonts w:ascii="楷体_GB2312" w:hAnsi="楷体_GB2312" w:eastAsia="宋体" w:cs="宋体"/>
                <w:kern w:val="0"/>
                <w:szCs w:val="21"/>
              </w:rPr>
              <w:t>机框防尘网检查</w:t>
            </w:r>
          </w:p>
        </w:tc>
        <w:tc>
          <w:tcPr>
            <w:tcW w:w="2474" w:type="dxa"/>
            <w:gridSpan w:val="2"/>
          </w:tcPr>
          <w:p>
            <w:pPr>
              <w:rPr>
                <w:rFonts w:ascii="楷体_GB2312" w:hAnsi="楷体_GB2312" w:eastAsia="宋体" w:cs="宋体"/>
                <w:kern w:val="0"/>
                <w:szCs w:val="21"/>
              </w:rPr>
            </w:pPr>
            <w:r>
              <w:rPr>
                <w:rFonts w:ascii="楷体_GB2312" w:hAnsi="楷体_GB2312" w:eastAsia="宋体" w:cs="宋体"/>
                <w:kern w:val="0"/>
                <w:szCs w:val="21"/>
              </w:rPr>
              <w:t>机房温度、湿度检查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vAlign w:val="center"/>
          </w:tcPr>
          <w:p>
            <w:pPr>
              <w:jc w:val="center"/>
              <w:rPr>
                <w:rFonts w:ascii="楷体_GB2312" w:hAnsi="楷体_GB2312" w:eastAsia="宋体" w:cs="宋体"/>
                <w:kern w:val="0"/>
                <w:szCs w:val="21"/>
              </w:rPr>
            </w:pPr>
          </w:p>
        </w:tc>
        <w:tc>
          <w:tcPr>
            <w:tcW w:w="2116" w:type="dxa"/>
          </w:tcPr>
          <w:p>
            <w:pPr>
              <w:rPr>
                <w:rFonts w:ascii="楷体_GB2312" w:hAnsi="楷体_GB2312" w:eastAsia="宋体" w:cs="宋体"/>
                <w:kern w:val="0"/>
                <w:szCs w:val="21"/>
              </w:rPr>
            </w:pPr>
            <w:r>
              <w:rPr>
                <w:rFonts w:ascii="楷体_GB2312" w:hAnsi="楷体_GB2312" w:eastAsia="宋体" w:cs="宋体"/>
                <w:kern w:val="0"/>
                <w:szCs w:val="21"/>
              </w:rPr>
              <w:t>设备地线检查</w:t>
            </w:r>
          </w:p>
        </w:tc>
        <w:tc>
          <w:tcPr>
            <w:tcW w:w="2260" w:type="dxa"/>
          </w:tcPr>
          <w:p>
            <w:pPr>
              <w:rPr>
                <w:rFonts w:ascii="楷体_GB2312" w:hAnsi="楷体_GB2312" w:eastAsia="宋体" w:cs="宋体"/>
                <w:kern w:val="0"/>
                <w:szCs w:val="21"/>
              </w:rPr>
            </w:pPr>
          </w:p>
        </w:tc>
        <w:tc>
          <w:tcPr>
            <w:tcW w:w="2474" w:type="dxa"/>
            <w:gridSpan w:val="2"/>
          </w:tcPr>
          <w:p>
            <w:pPr>
              <w:rPr>
                <w:rFonts w:ascii="楷体_GB2312" w:hAnsi="楷体_GB2312"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restart"/>
            <w:vAlign w:val="center"/>
          </w:tcPr>
          <w:p>
            <w:pPr>
              <w:jc w:val="center"/>
              <w:rPr>
                <w:rFonts w:ascii="楷体_GB2312" w:hAnsi="楷体_GB2312" w:eastAsia="宋体" w:cs="宋体"/>
                <w:kern w:val="0"/>
                <w:szCs w:val="21"/>
              </w:rPr>
            </w:pPr>
            <w:r>
              <w:rPr>
                <w:rFonts w:ascii="楷体_GB2312" w:hAnsi="楷体_GB2312" w:eastAsia="宋体" w:cs="宋体"/>
                <w:kern w:val="0"/>
                <w:szCs w:val="21"/>
              </w:rPr>
              <w:t>2</w:t>
            </w:r>
          </w:p>
        </w:tc>
        <w:tc>
          <w:tcPr>
            <w:tcW w:w="6850" w:type="dxa"/>
            <w:gridSpan w:val="4"/>
          </w:tcPr>
          <w:p>
            <w:pPr>
              <w:jc w:val="center"/>
              <w:rPr>
                <w:rFonts w:ascii="楷体_GB2312" w:hAnsi="楷体_GB2312" w:eastAsia="宋体" w:cs="宋体"/>
                <w:kern w:val="0"/>
                <w:szCs w:val="21"/>
              </w:rPr>
            </w:pPr>
            <w:r>
              <w:rPr>
                <w:rFonts w:ascii="楷体_GB2312" w:hAnsi="楷体_GB2312" w:eastAsia="宋体" w:cs="宋体"/>
                <w:kern w:val="0"/>
                <w:szCs w:val="21"/>
              </w:rPr>
              <w:t>软件运行情况检查项目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vAlign w:val="center"/>
          </w:tcPr>
          <w:p>
            <w:pPr>
              <w:jc w:val="center"/>
              <w:rPr>
                <w:rFonts w:ascii="楷体_GB2312" w:hAnsi="楷体_GB2312" w:eastAsia="宋体" w:cs="宋体"/>
                <w:kern w:val="0"/>
                <w:szCs w:val="21"/>
              </w:rPr>
            </w:pPr>
          </w:p>
        </w:tc>
        <w:tc>
          <w:tcPr>
            <w:tcW w:w="2116" w:type="dxa"/>
          </w:tcPr>
          <w:p>
            <w:pPr>
              <w:rPr>
                <w:rFonts w:ascii="楷体_GB2312" w:hAnsi="楷体_GB2312" w:eastAsia="宋体" w:cs="宋体"/>
                <w:kern w:val="0"/>
                <w:szCs w:val="21"/>
              </w:rPr>
            </w:pPr>
            <w:r>
              <w:rPr>
                <w:rFonts w:ascii="楷体_GB2312" w:hAnsi="楷体_GB2312" w:eastAsia="宋体" w:cs="宋体"/>
                <w:kern w:val="0"/>
                <w:szCs w:val="21"/>
              </w:rPr>
              <w:t>设备运行情况检查</w:t>
            </w:r>
          </w:p>
        </w:tc>
        <w:tc>
          <w:tcPr>
            <w:tcW w:w="2260" w:type="dxa"/>
          </w:tcPr>
          <w:p>
            <w:pPr>
              <w:rPr>
                <w:rFonts w:ascii="楷体_GB2312" w:hAnsi="楷体_GB2312" w:eastAsia="宋体" w:cs="宋体"/>
                <w:kern w:val="0"/>
                <w:szCs w:val="21"/>
              </w:rPr>
            </w:pPr>
            <w:r>
              <w:rPr>
                <w:rFonts w:ascii="楷体_GB2312" w:hAnsi="楷体_GB2312" w:eastAsia="宋体" w:cs="宋体"/>
                <w:kern w:val="0"/>
                <w:szCs w:val="21"/>
              </w:rPr>
              <w:t>网络报文分析</w:t>
            </w:r>
          </w:p>
        </w:tc>
        <w:tc>
          <w:tcPr>
            <w:tcW w:w="2474" w:type="dxa"/>
            <w:gridSpan w:val="2"/>
          </w:tcPr>
          <w:p>
            <w:pPr>
              <w:rPr>
                <w:rFonts w:ascii="楷体_GB2312" w:hAnsi="楷体_GB2312" w:eastAsia="宋体" w:cs="宋体"/>
                <w:kern w:val="0"/>
                <w:szCs w:val="21"/>
              </w:rPr>
            </w:pPr>
            <w:r>
              <w:rPr>
                <w:rFonts w:ascii="楷体_GB2312" w:hAnsi="楷体_GB2312" w:eastAsia="宋体" w:cs="宋体"/>
                <w:kern w:val="0"/>
                <w:szCs w:val="21"/>
              </w:rPr>
              <w:t>设备对接运行状况检查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vAlign w:val="center"/>
          </w:tcPr>
          <w:p>
            <w:pPr>
              <w:jc w:val="center"/>
              <w:rPr>
                <w:rFonts w:ascii="楷体_GB2312" w:hAnsi="楷体_GB2312" w:eastAsia="宋体" w:cs="宋体"/>
                <w:kern w:val="0"/>
                <w:szCs w:val="21"/>
              </w:rPr>
            </w:pPr>
          </w:p>
        </w:tc>
        <w:tc>
          <w:tcPr>
            <w:tcW w:w="2116" w:type="dxa"/>
          </w:tcPr>
          <w:p>
            <w:pPr>
              <w:rPr>
                <w:rFonts w:ascii="楷体_GB2312" w:hAnsi="楷体_GB2312" w:eastAsia="宋体" w:cs="宋体"/>
                <w:kern w:val="0"/>
                <w:szCs w:val="21"/>
              </w:rPr>
            </w:pPr>
            <w:r>
              <w:rPr>
                <w:rFonts w:ascii="楷体_GB2312" w:hAnsi="楷体_GB2312" w:eastAsia="宋体" w:cs="宋体"/>
                <w:kern w:val="0"/>
                <w:szCs w:val="21"/>
              </w:rPr>
              <w:t>路由运行情况检查</w:t>
            </w:r>
          </w:p>
        </w:tc>
        <w:tc>
          <w:tcPr>
            <w:tcW w:w="2260" w:type="dxa"/>
          </w:tcPr>
          <w:p>
            <w:pPr>
              <w:rPr>
                <w:rFonts w:ascii="楷体_GB2312" w:hAnsi="楷体_GB2312" w:eastAsia="宋体" w:cs="宋体"/>
                <w:kern w:val="0"/>
                <w:szCs w:val="21"/>
              </w:rPr>
            </w:pPr>
          </w:p>
        </w:tc>
        <w:tc>
          <w:tcPr>
            <w:tcW w:w="2474" w:type="dxa"/>
            <w:gridSpan w:val="2"/>
          </w:tcPr>
          <w:p>
            <w:pPr>
              <w:rPr>
                <w:rFonts w:ascii="楷体_GB2312" w:hAnsi="楷体_GB2312"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restart"/>
            <w:vAlign w:val="center"/>
          </w:tcPr>
          <w:p>
            <w:pPr>
              <w:jc w:val="center"/>
              <w:rPr>
                <w:rFonts w:ascii="楷体_GB2312" w:hAnsi="楷体_GB2312" w:eastAsia="宋体" w:cs="宋体"/>
                <w:kern w:val="0"/>
                <w:szCs w:val="21"/>
              </w:rPr>
            </w:pPr>
            <w:r>
              <w:rPr>
                <w:rFonts w:ascii="楷体_GB2312" w:hAnsi="楷体_GB2312" w:eastAsia="宋体" w:cs="宋体"/>
                <w:kern w:val="0"/>
                <w:szCs w:val="21"/>
              </w:rPr>
              <w:t>3</w:t>
            </w:r>
          </w:p>
        </w:tc>
        <w:tc>
          <w:tcPr>
            <w:tcW w:w="6850" w:type="dxa"/>
            <w:gridSpan w:val="4"/>
          </w:tcPr>
          <w:p>
            <w:pPr>
              <w:jc w:val="center"/>
              <w:rPr>
                <w:rFonts w:ascii="楷体_GB2312" w:hAnsi="楷体_GB2312" w:eastAsia="宋体" w:cs="宋体"/>
                <w:kern w:val="0"/>
                <w:szCs w:val="21"/>
              </w:rPr>
            </w:pPr>
            <w:r>
              <w:rPr>
                <w:rFonts w:ascii="楷体_GB2312" w:hAnsi="楷体_GB2312" w:eastAsia="宋体" w:cs="宋体"/>
                <w:kern w:val="0"/>
                <w:szCs w:val="21"/>
              </w:rPr>
              <w:t>网络整体运行情况调查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tcPr>
          <w:p>
            <w:pPr>
              <w:rPr>
                <w:rFonts w:ascii="楷体_GB2312" w:hAnsi="楷体_GB2312" w:eastAsia="宋体" w:cs="宋体"/>
                <w:kern w:val="0"/>
                <w:szCs w:val="21"/>
              </w:rPr>
            </w:pPr>
          </w:p>
        </w:tc>
        <w:tc>
          <w:tcPr>
            <w:tcW w:w="2116" w:type="dxa"/>
          </w:tcPr>
          <w:p>
            <w:pPr>
              <w:rPr>
                <w:rFonts w:ascii="楷体_GB2312" w:hAnsi="楷体_GB2312" w:eastAsia="宋体" w:cs="宋体"/>
                <w:kern w:val="0"/>
                <w:szCs w:val="21"/>
              </w:rPr>
            </w:pPr>
            <w:r>
              <w:rPr>
                <w:rFonts w:ascii="楷体_GB2312" w:hAnsi="楷体_GB2312" w:eastAsia="宋体" w:cs="宋体"/>
                <w:kern w:val="0"/>
                <w:szCs w:val="21"/>
              </w:rPr>
              <w:t>网络运行问题调查</w:t>
            </w:r>
          </w:p>
        </w:tc>
        <w:tc>
          <w:tcPr>
            <w:tcW w:w="2434" w:type="dxa"/>
            <w:gridSpan w:val="2"/>
          </w:tcPr>
          <w:p>
            <w:pPr>
              <w:rPr>
                <w:rFonts w:ascii="楷体_GB2312" w:hAnsi="楷体_GB2312" w:eastAsia="宋体" w:cs="宋体"/>
                <w:kern w:val="0"/>
                <w:szCs w:val="21"/>
              </w:rPr>
            </w:pPr>
            <w:r>
              <w:rPr>
                <w:rFonts w:ascii="楷体_GB2312" w:hAnsi="楷体_GB2312" w:eastAsia="宋体" w:cs="宋体"/>
                <w:kern w:val="0"/>
                <w:szCs w:val="21"/>
              </w:rPr>
              <w:t>网络变更情况调查</w:t>
            </w:r>
          </w:p>
        </w:tc>
        <w:tc>
          <w:tcPr>
            <w:tcW w:w="2300" w:type="dxa"/>
          </w:tcPr>
          <w:p>
            <w:pPr>
              <w:rPr>
                <w:rFonts w:ascii="楷体_GB2312" w:hAnsi="楷体_GB2312" w:eastAsia="宋体" w:cs="宋体"/>
                <w:kern w:val="0"/>
                <w:szCs w:val="21"/>
              </w:rPr>
            </w:pPr>
            <w:r>
              <w:rPr>
                <w:rFonts w:ascii="楷体_GB2312" w:hAnsi="楷体_GB2312" w:eastAsia="宋体" w:cs="宋体"/>
                <w:kern w:val="0"/>
                <w:szCs w:val="21"/>
              </w:rPr>
              <w:t>网络历史故障调查</w:t>
            </w:r>
          </w:p>
        </w:tc>
      </w:tr>
    </w:tbl>
    <w:p>
      <w:pPr>
        <w:spacing w:line="360" w:lineRule="auto"/>
        <w:ind w:firstLine="420" w:firstLineChars="200"/>
        <w:rPr>
          <w:rFonts w:ascii="楷体_GB2312" w:hAnsi="楷体_GB2312" w:eastAsia="宋体" w:cs="宋体"/>
          <w:kern w:val="0"/>
          <w:szCs w:val="21"/>
        </w:rPr>
      </w:pPr>
      <w:r>
        <w:rPr>
          <w:rFonts w:ascii="楷体_GB2312" w:hAnsi="楷体_GB2312" w:eastAsia="宋体" w:cs="宋体"/>
          <w:kern w:val="0"/>
          <w:szCs w:val="21"/>
        </w:rPr>
        <w:t>（2）网络运行分析与管理服务</w:t>
      </w:r>
    </w:p>
    <w:p>
      <w:pPr>
        <w:spacing w:line="360" w:lineRule="auto"/>
        <w:ind w:firstLine="420" w:firstLineChars="200"/>
        <w:rPr>
          <w:rFonts w:ascii="楷体_GB2312" w:hAnsi="楷体_GB2312" w:eastAsia="宋体" w:cs="宋体"/>
          <w:kern w:val="0"/>
          <w:szCs w:val="21"/>
        </w:rPr>
      </w:pPr>
      <w:r>
        <w:rPr>
          <w:rFonts w:ascii="楷体_GB2312" w:hAnsi="楷体_GB2312" w:eastAsia="宋体" w:cs="宋体"/>
          <w:kern w:val="0"/>
          <w:szCs w:val="21"/>
        </w:rPr>
        <w:t>网络运行分析与管理服务是指</w:t>
      </w:r>
      <w:r>
        <w:rPr>
          <w:rFonts w:hint="eastAsia" w:ascii="楷体_GB2312" w:hAnsi="楷体_GB2312" w:eastAsia="宋体" w:cs="宋体"/>
          <w:kern w:val="0"/>
          <w:szCs w:val="21"/>
        </w:rPr>
        <w:t>维保单位</w:t>
      </w:r>
      <w:r>
        <w:rPr>
          <w:rFonts w:ascii="楷体_GB2312" w:hAnsi="楷体_GB2312" w:eastAsia="宋体" w:cs="宋体"/>
          <w:kern w:val="0"/>
          <w:szCs w:val="21"/>
        </w:rPr>
        <w:t>工程师通过对网络运行状况、网络问题进行周期性检查、分析后，为客户提出指导性建议的一种综合性高级服务，其内容包括：</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4"/>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4" w:type="dxa"/>
            <w:shd w:val="clear" w:color="auto" w:fill="B3B3B3"/>
          </w:tcPr>
          <w:p>
            <w:pPr>
              <w:jc w:val="center"/>
              <w:rPr>
                <w:rFonts w:ascii="楷体_GB2312" w:hAnsi="楷体_GB2312" w:eastAsia="宋体" w:cs="宋体"/>
                <w:kern w:val="0"/>
                <w:szCs w:val="21"/>
              </w:rPr>
            </w:pPr>
            <w:r>
              <w:rPr>
                <w:rFonts w:ascii="楷体_GB2312" w:hAnsi="楷体_GB2312" w:eastAsia="宋体" w:cs="宋体"/>
                <w:kern w:val="0"/>
                <w:szCs w:val="21"/>
              </w:rPr>
              <w:t>服务内容</w:t>
            </w:r>
          </w:p>
        </w:tc>
        <w:tc>
          <w:tcPr>
            <w:tcW w:w="4249" w:type="dxa"/>
            <w:shd w:val="clear" w:color="auto" w:fill="B3B3B3"/>
          </w:tcPr>
          <w:p>
            <w:pPr>
              <w:jc w:val="center"/>
              <w:rPr>
                <w:rFonts w:ascii="楷体_GB2312" w:hAnsi="楷体_GB2312" w:eastAsia="宋体" w:cs="宋体"/>
                <w:kern w:val="0"/>
                <w:szCs w:val="21"/>
              </w:rPr>
            </w:pPr>
            <w:r>
              <w:rPr>
                <w:rFonts w:ascii="楷体_GB2312" w:hAnsi="楷体_GB2312" w:eastAsia="宋体" w:cs="宋体"/>
                <w:kern w:val="0"/>
                <w:szCs w:val="21"/>
              </w:rPr>
              <w:t>服务优点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4" w:type="dxa"/>
          </w:tcPr>
          <w:p>
            <w:pPr>
              <w:rPr>
                <w:rFonts w:ascii="楷体_GB2312" w:hAnsi="楷体_GB2312" w:eastAsia="宋体" w:cs="宋体"/>
                <w:kern w:val="0"/>
                <w:szCs w:val="21"/>
              </w:rPr>
            </w:pPr>
            <w:r>
              <w:rPr>
                <w:rFonts w:hint="eastAsia" w:ascii="楷体_GB2312" w:hAnsi="楷体_GB2312" w:eastAsia="宋体" w:cs="宋体"/>
                <w:kern w:val="0"/>
                <w:szCs w:val="21"/>
              </w:rPr>
              <w:t>向客户提供</w:t>
            </w:r>
            <w:r>
              <w:rPr>
                <w:rFonts w:ascii="楷体_GB2312" w:hAnsi="楷体_GB2312" w:eastAsia="宋体" w:cs="宋体"/>
                <w:kern w:val="0"/>
                <w:szCs w:val="21"/>
              </w:rPr>
              <w:t>网络专家电话号码。</w:t>
            </w:r>
          </w:p>
        </w:tc>
        <w:tc>
          <w:tcPr>
            <w:tcW w:w="4249" w:type="dxa"/>
          </w:tcPr>
          <w:p>
            <w:pPr>
              <w:rPr>
                <w:rFonts w:ascii="楷体_GB2312" w:hAnsi="楷体_GB2312" w:eastAsia="宋体" w:cs="宋体"/>
                <w:kern w:val="0"/>
                <w:szCs w:val="21"/>
              </w:rPr>
            </w:pPr>
            <w:r>
              <w:rPr>
                <w:rFonts w:ascii="楷体_GB2312" w:hAnsi="楷体_GB2312" w:eastAsia="宋体" w:cs="宋体"/>
                <w:kern w:val="0"/>
                <w:szCs w:val="21"/>
              </w:rPr>
              <w:t>保证重大问题第一连线至网络专家。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4" w:type="dxa"/>
          </w:tcPr>
          <w:p>
            <w:pPr>
              <w:rPr>
                <w:rFonts w:ascii="楷体_GB2312" w:hAnsi="楷体_GB2312" w:eastAsia="宋体" w:cs="宋体"/>
                <w:kern w:val="0"/>
                <w:szCs w:val="21"/>
              </w:rPr>
            </w:pPr>
            <w:r>
              <w:rPr>
                <w:rFonts w:ascii="楷体_GB2312" w:hAnsi="楷体_GB2312" w:eastAsia="宋体" w:cs="宋体"/>
                <w:kern w:val="0"/>
                <w:szCs w:val="21"/>
              </w:rPr>
              <w:t>网络专家组每周与客户进行电话技术交流</w:t>
            </w:r>
          </w:p>
        </w:tc>
        <w:tc>
          <w:tcPr>
            <w:tcW w:w="4249" w:type="dxa"/>
          </w:tcPr>
          <w:p>
            <w:pPr>
              <w:rPr>
                <w:rFonts w:ascii="楷体_GB2312" w:hAnsi="楷体_GB2312" w:eastAsia="宋体" w:cs="宋体"/>
                <w:kern w:val="0"/>
                <w:szCs w:val="21"/>
              </w:rPr>
            </w:pPr>
            <w:r>
              <w:rPr>
                <w:rFonts w:ascii="楷体_GB2312" w:hAnsi="楷体_GB2312" w:eastAsia="宋体" w:cs="宋体"/>
                <w:kern w:val="0"/>
                <w:szCs w:val="21"/>
              </w:rPr>
              <w:t>以最小成本保证及时解答客户关心的技术问题，并就某一领域技术问题展开深层次沟通。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4" w:type="dxa"/>
          </w:tcPr>
          <w:p>
            <w:pPr>
              <w:rPr>
                <w:rFonts w:ascii="楷体_GB2312" w:hAnsi="楷体_GB2312" w:eastAsia="宋体" w:cs="宋体"/>
                <w:kern w:val="0"/>
                <w:szCs w:val="21"/>
              </w:rPr>
            </w:pPr>
            <w:r>
              <w:rPr>
                <w:rFonts w:ascii="楷体_GB2312" w:hAnsi="楷体_GB2312" w:eastAsia="宋体" w:cs="宋体"/>
                <w:kern w:val="0"/>
                <w:szCs w:val="21"/>
              </w:rPr>
              <w:t>每月向客户提交CASE汇总分析报告</w:t>
            </w:r>
          </w:p>
        </w:tc>
        <w:tc>
          <w:tcPr>
            <w:tcW w:w="4249" w:type="dxa"/>
          </w:tcPr>
          <w:p>
            <w:pPr>
              <w:rPr>
                <w:rFonts w:ascii="楷体_GB2312" w:hAnsi="楷体_GB2312" w:eastAsia="宋体" w:cs="宋体"/>
                <w:kern w:val="0"/>
                <w:szCs w:val="21"/>
              </w:rPr>
            </w:pPr>
            <w:r>
              <w:rPr>
                <w:rFonts w:ascii="楷体_GB2312" w:hAnsi="楷体_GB2312" w:eastAsia="宋体" w:cs="宋体"/>
                <w:kern w:val="0"/>
                <w:szCs w:val="21"/>
              </w:rPr>
              <w:t>使客户了解网络历史故障情况以及故障预防建议，最大程度减少网络故障隐患，更高效的进行网络管理。</w:t>
            </w:r>
          </w:p>
        </w:tc>
      </w:tr>
    </w:tbl>
    <w:p>
      <w:pPr>
        <w:numPr>
          <w:ilvl w:val="0"/>
          <w:numId w:val="1"/>
        </w:numPr>
        <w:snapToGrid w:val="0"/>
        <w:spacing w:before="312" w:beforeLines="100" w:line="360" w:lineRule="auto"/>
        <w:rPr>
          <w:rFonts w:ascii="楷体_GB2312" w:hAnsi="楷体_GB2312" w:eastAsia="宋体" w:cs="宋体"/>
          <w:kern w:val="0"/>
          <w:szCs w:val="21"/>
        </w:rPr>
      </w:pPr>
      <w:r>
        <w:rPr>
          <w:rFonts w:ascii="楷体_GB2312" w:hAnsi="楷体_GB2312" w:eastAsia="宋体" w:cs="宋体"/>
          <w:kern w:val="0"/>
          <w:szCs w:val="21"/>
        </w:rPr>
        <w:t>重要时刻专人值守服务</w:t>
      </w:r>
    </w:p>
    <w:p>
      <w:pPr>
        <w:spacing w:line="360" w:lineRule="auto"/>
        <w:ind w:firstLine="420" w:firstLineChars="200"/>
        <w:rPr>
          <w:rFonts w:ascii="楷体_GB2312" w:hAnsi="楷体_GB2312" w:eastAsia="宋体" w:cs="宋体"/>
          <w:kern w:val="0"/>
          <w:szCs w:val="21"/>
        </w:rPr>
      </w:pPr>
      <w:r>
        <w:rPr>
          <w:rFonts w:ascii="楷体_GB2312" w:hAnsi="楷体_GB2312" w:eastAsia="宋体" w:cs="宋体"/>
          <w:kern w:val="0"/>
          <w:szCs w:val="21"/>
        </w:rPr>
        <w:t>重要时刻设备稳定运行的保障尤为关键，因此，</w:t>
      </w:r>
      <w:r>
        <w:rPr>
          <w:rFonts w:hint="eastAsia" w:ascii="楷体_GB2312" w:hAnsi="楷体_GB2312" w:eastAsia="宋体" w:cs="宋体"/>
          <w:kern w:val="0"/>
          <w:szCs w:val="21"/>
        </w:rPr>
        <w:t>维保单位</w:t>
      </w:r>
      <w:r>
        <w:rPr>
          <w:rFonts w:ascii="楷体_GB2312" w:hAnsi="楷体_GB2312" w:eastAsia="宋体" w:cs="宋体"/>
          <w:kern w:val="0"/>
          <w:szCs w:val="21"/>
        </w:rPr>
        <w:t>可对客户提供重要时刻的专人现场值守支持，包括年终结算日、生产网重大割接或其它客户认为可能对其业务运营产生重大影响的时刻。</w:t>
      </w:r>
    </w:p>
    <w:p>
      <w:bookmarkStart w:id="5" w:name="_Toc462247497"/>
      <w:r>
        <w:rPr>
          <w:rFonts w:hint="eastAsia"/>
        </w:rPr>
        <w:t>三、</w:t>
      </w:r>
      <w:r>
        <w:t>主机、存储系统运维服务</w:t>
      </w:r>
      <w:bookmarkEnd w:id="5"/>
    </w:p>
    <w:p>
      <w:pPr>
        <w:spacing w:line="360" w:lineRule="auto"/>
        <w:ind w:firstLine="420" w:firstLineChars="200"/>
        <w:rPr>
          <w:rFonts w:ascii="楷体_GB2312" w:hAnsi="楷体_GB2312" w:eastAsia="宋体" w:cs="宋体"/>
          <w:kern w:val="0"/>
          <w:szCs w:val="21"/>
        </w:rPr>
      </w:pPr>
      <w:r>
        <w:rPr>
          <w:rFonts w:hint="eastAsia" w:ascii="楷体_GB2312" w:hAnsi="楷体_GB2312" w:eastAsia="宋体" w:cs="宋体"/>
          <w:kern w:val="0"/>
          <w:szCs w:val="21"/>
        </w:rPr>
        <w:t>维保单位提供的主机、存储系统的运维服务包括：主机、存储设备的日常监控，设备的运行状态监控，故障处理，操作系统维护，补丁升级等内容。</w:t>
      </w:r>
    </w:p>
    <w:p>
      <w:pPr>
        <w:spacing w:line="360" w:lineRule="auto"/>
        <w:ind w:firstLine="420" w:firstLineChars="200"/>
        <w:rPr>
          <w:rFonts w:ascii="楷体_GB2312" w:hAnsi="楷体_GB2312" w:eastAsia="宋体" w:cs="宋体"/>
          <w:kern w:val="0"/>
          <w:szCs w:val="21"/>
        </w:rPr>
      </w:pPr>
      <w:r>
        <w:rPr>
          <w:rFonts w:hint="eastAsia" w:ascii="楷体_GB2312" w:hAnsi="楷体_GB2312" w:eastAsia="宋体" w:cs="宋体"/>
          <w:kern w:val="0"/>
          <w:szCs w:val="21"/>
        </w:rPr>
        <w:t>主机存储系统基本服务内容：</w:t>
      </w:r>
    </w:p>
    <w:tbl>
      <w:tblPr>
        <w:tblStyle w:val="15"/>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917"/>
        <w:gridCol w:w="3661"/>
        <w:gridCol w:w="573"/>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387" w:type="pct"/>
            <w:shd w:val="clear" w:color="auto" w:fill="C0C0C0"/>
            <w:noWrap/>
            <w:vAlign w:val="center"/>
          </w:tcPr>
          <w:p>
            <w:pPr>
              <w:widowControl/>
              <w:spacing w:line="300" w:lineRule="auto"/>
              <w:jc w:val="center"/>
              <w:rPr>
                <w:rFonts w:ascii="楷体_GB2312" w:hAnsi="楷体_GB2312" w:eastAsia="宋体" w:cs="宋体"/>
                <w:kern w:val="0"/>
                <w:szCs w:val="21"/>
              </w:rPr>
            </w:pPr>
            <w:r>
              <w:rPr>
                <w:rFonts w:ascii="楷体_GB2312" w:hAnsi="楷体_GB2312" w:eastAsia="宋体" w:cs="宋体"/>
                <w:kern w:val="0"/>
                <w:szCs w:val="21"/>
              </w:rPr>
              <w:t>序号</w:t>
            </w:r>
          </w:p>
        </w:tc>
        <w:tc>
          <w:tcPr>
            <w:tcW w:w="1158" w:type="pct"/>
            <w:shd w:val="clear" w:color="auto" w:fill="C0C0C0"/>
            <w:noWrap/>
            <w:vAlign w:val="center"/>
          </w:tcPr>
          <w:p>
            <w:pPr>
              <w:widowControl/>
              <w:spacing w:line="300" w:lineRule="auto"/>
              <w:jc w:val="center"/>
              <w:rPr>
                <w:rFonts w:ascii="楷体_GB2312" w:hAnsi="楷体_GB2312" w:eastAsia="宋体" w:cs="宋体"/>
                <w:kern w:val="0"/>
                <w:szCs w:val="21"/>
              </w:rPr>
            </w:pPr>
            <w:r>
              <w:rPr>
                <w:rFonts w:ascii="楷体_GB2312" w:hAnsi="楷体_GB2312" w:eastAsia="宋体" w:cs="宋体"/>
                <w:kern w:val="0"/>
                <w:szCs w:val="21"/>
              </w:rPr>
              <w:t>服务模块</w:t>
            </w:r>
          </w:p>
        </w:tc>
        <w:tc>
          <w:tcPr>
            <w:tcW w:w="2211" w:type="pct"/>
            <w:shd w:val="clear" w:color="auto" w:fill="C0C0C0"/>
            <w:vAlign w:val="center"/>
          </w:tcPr>
          <w:p>
            <w:pPr>
              <w:widowControl/>
              <w:spacing w:line="300" w:lineRule="auto"/>
              <w:jc w:val="center"/>
              <w:rPr>
                <w:rFonts w:ascii="楷体_GB2312" w:hAnsi="楷体_GB2312" w:eastAsia="宋体" w:cs="宋体"/>
                <w:kern w:val="0"/>
                <w:szCs w:val="21"/>
              </w:rPr>
            </w:pPr>
            <w:r>
              <w:rPr>
                <w:rFonts w:ascii="楷体_GB2312" w:hAnsi="楷体_GB2312" w:eastAsia="宋体" w:cs="宋体"/>
                <w:kern w:val="0"/>
                <w:szCs w:val="21"/>
              </w:rPr>
              <w:t>内容描述</w:t>
            </w:r>
          </w:p>
        </w:tc>
        <w:tc>
          <w:tcPr>
            <w:tcW w:w="1244" w:type="pct"/>
            <w:gridSpan w:val="2"/>
            <w:shd w:val="clear" w:color="auto" w:fill="C0C0C0"/>
            <w:vAlign w:val="center"/>
          </w:tcPr>
          <w:p>
            <w:pPr>
              <w:widowControl/>
              <w:spacing w:line="300" w:lineRule="auto"/>
              <w:jc w:val="center"/>
              <w:rPr>
                <w:rFonts w:ascii="楷体_GB2312" w:hAnsi="楷体_GB2312" w:eastAsia="宋体" w:cs="宋体"/>
                <w:kern w:val="0"/>
                <w:szCs w:val="21"/>
              </w:rPr>
            </w:pPr>
            <w:r>
              <w:rPr>
                <w:rFonts w:ascii="楷体_GB2312" w:hAnsi="楷体_GB2312" w:eastAsia="宋体" w:cs="宋体"/>
                <w:kern w:val="0"/>
                <w:szCs w:val="21"/>
              </w:rPr>
              <w:t>提供方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7" w:type="pct"/>
            <w:shd w:val="clear" w:color="auto" w:fill="auto"/>
            <w:noWrap/>
            <w:vAlign w:val="center"/>
          </w:tcPr>
          <w:p>
            <w:pPr>
              <w:widowControl/>
              <w:spacing w:line="300" w:lineRule="auto"/>
              <w:jc w:val="center"/>
              <w:rPr>
                <w:rFonts w:ascii="楷体_GB2312" w:hAnsi="楷体_GB2312" w:eastAsia="宋体" w:cs="宋体"/>
                <w:kern w:val="0"/>
                <w:sz w:val="18"/>
                <w:szCs w:val="18"/>
              </w:rPr>
            </w:pPr>
            <w:r>
              <w:rPr>
                <w:rFonts w:hint="eastAsia" w:ascii="楷体_GB2312" w:hAnsi="楷体_GB2312" w:eastAsia="宋体" w:cs="宋体"/>
                <w:kern w:val="0"/>
                <w:sz w:val="18"/>
                <w:szCs w:val="18"/>
              </w:rPr>
              <w:t>1</w:t>
            </w:r>
          </w:p>
        </w:tc>
        <w:tc>
          <w:tcPr>
            <w:tcW w:w="1158" w:type="pct"/>
            <w:shd w:val="clear" w:color="auto" w:fill="auto"/>
            <w:noWrap/>
            <w:vAlign w:val="center"/>
          </w:tcPr>
          <w:p>
            <w:pPr>
              <w:widowControl/>
              <w:spacing w:line="300" w:lineRule="auto"/>
              <w:rPr>
                <w:rFonts w:ascii="楷体_GB2312" w:hAnsi="楷体_GB2312" w:eastAsia="宋体" w:cs="宋体"/>
                <w:kern w:val="0"/>
                <w:sz w:val="18"/>
                <w:szCs w:val="18"/>
              </w:rPr>
            </w:pPr>
            <w:r>
              <w:rPr>
                <w:rFonts w:ascii="楷体_GB2312" w:hAnsi="楷体_GB2312" w:eastAsia="宋体" w:cs="宋体"/>
                <w:kern w:val="0"/>
                <w:sz w:val="18"/>
                <w:szCs w:val="18"/>
              </w:rPr>
              <w:t>补丁服务</w:t>
            </w:r>
          </w:p>
        </w:tc>
        <w:tc>
          <w:tcPr>
            <w:tcW w:w="2557" w:type="pct"/>
            <w:gridSpan w:val="2"/>
            <w:vAlign w:val="center"/>
          </w:tcPr>
          <w:p>
            <w:pPr>
              <w:widowControl/>
              <w:spacing w:line="300" w:lineRule="auto"/>
              <w:rPr>
                <w:rFonts w:ascii="楷体_GB2312" w:hAnsi="楷体_GB2312" w:eastAsia="宋体" w:cs="宋体"/>
                <w:kern w:val="0"/>
                <w:sz w:val="18"/>
                <w:szCs w:val="18"/>
              </w:rPr>
            </w:pPr>
            <w:r>
              <w:rPr>
                <w:rFonts w:ascii="楷体_GB2312" w:hAnsi="楷体_GB2312" w:eastAsia="宋体" w:cs="宋体"/>
                <w:kern w:val="0"/>
                <w:sz w:val="18"/>
                <w:szCs w:val="18"/>
              </w:rPr>
              <w:t>消</w:t>
            </w:r>
            <w:r>
              <w:rPr>
                <w:rFonts w:hint="eastAsia" w:ascii="楷体_GB2312" w:hAnsi="楷体_GB2312" w:eastAsia="宋体" w:cs="宋体"/>
                <w:kern w:val="0"/>
                <w:sz w:val="18"/>
                <w:szCs w:val="18"/>
              </w:rPr>
              <w:t>除</w:t>
            </w:r>
            <w:r>
              <w:rPr>
                <w:rFonts w:ascii="楷体_GB2312" w:hAnsi="楷体_GB2312" w:eastAsia="宋体" w:cs="宋体"/>
                <w:kern w:val="0"/>
                <w:sz w:val="18"/>
                <w:szCs w:val="18"/>
              </w:rPr>
              <w:t>软件漏洞给系统带来的安全隐患，并对安装补丁所引起的系统连锁反应进行合理的平衡。</w:t>
            </w:r>
          </w:p>
        </w:tc>
        <w:tc>
          <w:tcPr>
            <w:tcW w:w="899" w:type="pct"/>
          </w:tcPr>
          <w:p>
            <w:pPr>
              <w:widowControl/>
              <w:spacing w:line="300" w:lineRule="auto"/>
              <w:jc w:val="center"/>
              <w:rPr>
                <w:rFonts w:ascii="楷体_GB2312" w:hAnsi="楷体_GB2312" w:eastAsia="宋体" w:cs="宋体"/>
                <w:kern w:val="0"/>
                <w:sz w:val="18"/>
                <w:szCs w:val="18"/>
              </w:rPr>
            </w:pPr>
            <w:r>
              <w:rPr>
                <w:rFonts w:hint="eastAsia" w:ascii="楷体_GB2312" w:hAnsi="楷体_GB2312" w:eastAsia="宋体" w:cs="宋体"/>
                <w:kern w:val="0"/>
                <w:sz w:val="18"/>
                <w:szCs w:val="18"/>
              </w:rPr>
              <w:t>维保单位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7" w:type="pct"/>
            <w:shd w:val="clear" w:color="auto" w:fill="auto"/>
            <w:noWrap/>
            <w:vAlign w:val="center"/>
          </w:tcPr>
          <w:p>
            <w:pPr>
              <w:widowControl/>
              <w:spacing w:line="300" w:lineRule="auto"/>
              <w:jc w:val="center"/>
              <w:rPr>
                <w:rFonts w:ascii="楷体_GB2312" w:hAnsi="楷体_GB2312" w:eastAsia="宋体" w:cs="宋体"/>
                <w:kern w:val="0"/>
                <w:sz w:val="18"/>
                <w:szCs w:val="18"/>
              </w:rPr>
            </w:pPr>
            <w:r>
              <w:rPr>
                <w:rFonts w:hint="eastAsia" w:ascii="楷体_GB2312" w:hAnsi="楷体_GB2312" w:eastAsia="宋体" w:cs="宋体"/>
                <w:kern w:val="0"/>
                <w:sz w:val="18"/>
                <w:szCs w:val="18"/>
              </w:rPr>
              <w:t>2</w:t>
            </w:r>
          </w:p>
        </w:tc>
        <w:tc>
          <w:tcPr>
            <w:tcW w:w="1158" w:type="pct"/>
            <w:shd w:val="clear" w:color="auto" w:fill="auto"/>
            <w:noWrap/>
            <w:vAlign w:val="center"/>
          </w:tcPr>
          <w:p>
            <w:pPr>
              <w:widowControl/>
              <w:spacing w:line="300" w:lineRule="auto"/>
              <w:rPr>
                <w:rFonts w:ascii="楷体_GB2312" w:hAnsi="楷体_GB2312" w:eastAsia="宋体" w:cs="宋体"/>
                <w:kern w:val="0"/>
                <w:sz w:val="18"/>
                <w:szCs w:val="18"/>
              </w:rPr>
            </w:pPr>
            <w:r>
              <w:rPr>
                <w:rFonts w:ascii="楷体_GB2312" w:hAnsi="楷体_GB2312" w:eastAsia="宋体" w:cs="宋体"/>
                <w:kern w:val="0"/>
                <w:sz w:val="18"/>
                <w:szCs w:val="18"/>
              </w:rPr>
              <w:t>升级服务</w:t>
            </w:r>
          </w:p>
        </w:tc>
        <w:tc>
          <w:tcPr>
            <w:tcW w:w="2557" w:type="pct"/>
            <w:gridSpan w:val="2"/>
            <w:vAlign w:val="center"/>
          </w:tcPr>
          <w:p>
            <w:pPr>
              <w:widowControl/>
              <w:spacing w:line="300" w:lineRule="auto"/>
              <w:rPr>
                <w:rFonts w:ascii="楷体_GB2312" w:hAnsi="楷体_GB2312" w:eastAsia="宋体" w:cs="宋体"/>
                <w:kern w:val="0"/>
                <w:sz w:val="18"/>
                <w:szCs w:val="18"/>
              </w:rPr>
            </w:pPr>
            <w:r>
              <w:rPr>
                <w:rFonts w:ascii="楷体_GB2312" w:hAnsi="楷体_GB2312" w:eastAsia="宋体" w:cs="宋体"/>
                <w:kern w:val="0"/>
                <w:sz w:val="18"/>
                <w:szCs w:val="18"/>
              </w:rPr>
              <w:t>对系统进行软件或硬件的升级，以改进、完善现有系统或消除现有系统的漏洞。</w:t>
            </w:r>
          </w:p>
        </w:tc>
        <w:tc>
          <w:tcPr>
            <w:tcW w:w="899" w:type="pct"/>
          </w:tcPr>
          <w:p>
            <w:pPr>
              <w:widowControl/>
              <w:spacing w:line="300" w:lineRule="auto"/>
              <w:rPr>
                <w:rFonts w:ascii="楷体_GB2312" w:hAnsi="楷体_GB2312" w:eastAsia="宋体" w:cs="宋体"/>
                <w:kern w:val="0"/>
                <w:sz w:val="18"/>
                <w:szCs w:val="18"/>
              </w:rPr>
            </w:pPr>
            <w:r>
              <w:rPr>
                <w:rFonts w:hint="eastAsia" w:ascii="楷体_GB2312" w:hAnsi="楷体_GB2312" w:eastAsia="宋体" w:cs="宋体"/>
                <w:kern w:val="0"/>
                <w:sz w:val="18"/>
                <w:szCs w:val="18"/>
              </w:rPr>
              <w:t>维保单位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7" w:type="pct"/>
            <w:shd w:val="clear" w:color="auto" w:fill="auto"/>
            <w:noWrap/>
            <w:vAlign w:val="center"/>
          </w:tcPr>
          <w:p>
            <w:pPr>
              <w:widowControl/>
              <w:spacing w:line="300" w:lineRule="auto"/>
              <w:jc w:val="center"/>
              <w:rPr>
                <w:rFonts w:ascii="楷体_GB2312" w:hAnsi="楷体_GB2312" w:eastAsia="宋体" w:cs="宋体"/>
                <w:kern w:val="0"/>
                <w:sz w:val="18"/>
                <w:szCs w:val="18"/>
              </w:rPr>
            </w:pPr>
            <w:r>
              <w:rPr>
                <w:rFonts w:hint="eastAsia" w:ascii="楷体_GB2312" w:hAnsi="楷体_GB2312" w:eastAsia="宋体" w:cs="宋体"/>
                <w:kern w:val="0"/>
                <w:sz w:val="18"/>
                <w:szCs w:val="18"/>
              </w:rPr>
              <w:t>3</w:t>
            </w:r>
          </w:p>
        </w:tc>
        <w:tc>
          <w:tcPr>
            <w:tcW w:w="1158" w:type="pct"/>
            <w:shd w:val="clear" w:color="auto" w:fill="auto"/>
            <w:noWrap/>
            <w:vAlign w:val="center"/>
          </w:tcPr>
          <w:p>
            <w:pPr>
              <w:widowControl/>
              <w:spacing w:line="300" w:lineRule="auto"/>
              <w:rPr>
                <w:rFonts w:ascii="楷体_GB2312" w:hAnsi="楷体_GB2312" w:eastAsia="宋体" w:cs="宋体"/>
                <w:kern w:val="0"/>
                <w:sz w:val="18"/>
                <w:szCs w:val="18"/>
              </w:rPr>
            </w:pPr>
            <w:r>
              <w:rPr>
                <w:rFonts w:ascii="楷体_GB2312" w:hAnsi="楷体_GB2312" w:eastAsia="宋体" w:cs="宋体"/>
                <w:kern w:val="0"/>
                <w:sz w:val="18"/>
                <w:szCs w:val="18"/>
              </w:rPr>
              <w:t>现场故障诊断</w:t>
            </w:r>
          </w:p>
        </w:tc>
        <w:tc>
          <w:tcPr>
            <w:tcW w:w="2557" w:type="pct"/>
            <w:gridSpan w:val="2"/>
            <w:vAlign w:val="center"/>
          </w:tcPr>
          <w:p>
            <w:pPr>
              <w:widowControl/>
              <w:spacing w:line="300" w:lineRule="auto"/>
              <w:rPr>
                <w:rFonts w:ascii="楷体_GB2312" w:hAnsi="楷体_GB2312" w:eastAsia="宋体" w:cs="宋体"/>
                <w:kern w:val="0"/>
                <w:sz w:val="18"/>
                <w:szCs w:val="18"/>
              </w:rPr>
            </w:pPr>
            <w:r>
              <w:rPr>
                <w:rFonts w:ascii="楷体_GB2312" w:hAnsi="楷体_GB2312" w:eastAsia="宋体" w:cs="宋体"/>
                <w:kern w:val="0"/>
                <w:sz w:val="18"/>
                <w:szCs w:val="18"/>
              </w:rPr>
              <w:t>按服务级别</w:t>
            </w:r>
            <w:r>
              <w:rPr>
                <w:rFonts w:hint="eastAsia" w:ascii="楷体_GB2312" w:hAnsi="楷体_GB2312" w:eastAsia="宋体" w:cs="宋体"/>
                <w:kern w:val="0"/>
                <w:sz w:val="18"/>
                <w:szCs w:val="18"/>
              </w:rPr>
              <w:t>：</w:t>
            </w:r>
            <w:r>
              <w:rPr>
                <w:rFonts w:ascii="楷体_GB2312" w:hAnsi="楷体_GB2312" w:eastAsia="宋体" w:cs="宋体"/>
                <w:kern w:val="0"/>
                <w:sz w:val="18"/>
                <w:szCs w:val="18"/>
              </w:rPr>
              <w:t>7×24小时</w:t>
            </w:r>
          </w:p>
        </w:tc>
        <w:tc>
          <w:tcPr>
            <w:tcW w:w="899" w:type="pct"/>
          </w:tcPr>
          <w:p>
            <w:pPr>
              <w:widowControl/>
              <w:spacing w:line="300" w:lineRule="auto"/>
              <w:rPr>
                <w:rFonts w:ascii="楷体_GB2312" w:hAnsi="楷体_GB2312" w:eastAsia="宋体" w:cs="宋体"/>
                <w:kern w:val="0"/>
                <w:sz w:val="18"/>
                <w:szCs w:val="18"/>
              </w:rPr>
            </w:pPr>
            <w:r>
              <w:rPr>
                <w:rFonts w:hint="eastAsia" w:ascii="楷体_GB2312" w:hAnsi="楷体_GB2312" w:eastAsia="宋体" w:cs="宋体"/>
                <w:kern w:val="0"/>
                <w:sz w:val="18"/>
                <w:szCs w:val="18"/>
              </w:rPr>
              <w:t>维保单位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7" w:type="pct"/>
            <w:shd w:val="clear" w:color="auto" w:fill="auto"/>
            <w:noWrap/>
            <w:vAlign w:val="center"/>
          </w:tcPr>
          <w:p>
            <w:pPr>
              <w:widowControl/>
              <w:spacing w:line="300" w:lineRule="auto"/>
              <w:jc w:val="center"/>
              <w:rPr>
                <w:rFonts w:ascii="楷体_GB2312" w:hAnsi="楷体_GB2312" w:eastAsia="宋体" w:cs="宋体"/>
                <w:kern w:val="0"/>
                <w:sz w:val="18"/>
                <w:szCs w:val="18"/>
              </w:rPr>
            </w:pPr>
            <w:r>
              <w:rPr>
                <w:rFonts w:hint="eastAsia" w:ascii="楷体_GB2312" w:hAnsi="楷体_GB2312" w:eastAsia="宋体" w:cs="宋体"/>
                <w:kern w:val="0"/>
                <w:sz w:val="18"/>
                <w:szCs w:val="18"/>
              </w:rPr>
              <w:t>4</w:t>
            </w:r>
          </w:p>
        </w:tc>
        <w:tc>
          <w:tcPr>
            <w:tcW w:w="1158" w:type="pct"/>
            <w:shd w:val="clear" w:color="auto" w:fill="auto"/>
            <w:noWrap/>
            <w:vAlign w:val="center"/>
          </w:tcPr>
          <w:p>
            <w:pPr>
              <w:widowControl/>
              <w:spacing w:line="300" w:lineRule="auto"/>
              <w:rPr>
                <w:rFonts w:ascii="楷体_GB2312" w:hAnsi="楷体_GB2312" w:eastAsia="宋体" w:cs="宋体"/>
                <w:kern w:val="0"/>
                <w:sz w:val="18"/>
                <w:szCs w:val="18"/>
              </w:rPr>
            </w:pPr>
            <w:r>
              <w:rPr>
                <w:rFonts w:ascii="楷体_GB2312" w:hAnsi="楷体_GB2312" w:eastAsia="宋体" w:cs="宋体"/>
                <w:kern w:val="0"/>
                <w:sz w:val="18"/>
                <w:szCs w:val="18"/>
              </w:rPr>
              <w:t>电话远程技术支持</w:t>
            </w:r>
          </w:p>
        </w:tc>
        <w:tc>
          <w:tcPr>
            <w:tcW w:w="2557" w:type="pct"/>
            <w:gridSpan w:val="2"/>
            <w:vAlign w:val="center"/>
          </w:tcPr>
          <w:p>
            <w:pPr>
              <w:widowControl/>
              <w:spacing w:line="300" w:lineRule="auto"/>
              <w:jc w:val="left"/>
              <w:rPr>
                <w:rFonts w:ascii="楷体_GB2312" w:hAnsi="楷体_GB2312" w:eastAsia="宋体" w:cs="宋体"/>
                <w:kern w:val="0"/>
                <w:sz w:val="18"/>
                <w:szCs w:val="18"/>
              </w:rPr>
            </w:pPr>
            <w:r>
              <w:rPr>
                <w:rFonts w:ascii="楷体_GB2312" w:hAnsi="楷体_GB2312" w:eastAsia="宋体" w:cs="宋体"/>
                <w:kern w:val="0"/>
                <w:sz w:val="18"/>
                <w:szCs w:val="18"/>
              </w:rPr>
              <w:t>7×24小时</w:t>
            </w:r>
          </w:p>
        </w:tc>
        <w:tc>
          <w:tcPr>
            <w:tcW w:w="899" w:type="pct"/>
          </w:tcPr>
          <w:p>
            <w:pPr>
              <w:widowControl/>
              <w:spacing w:line="300" w:lineRule="auto"/>
              <w:jc w:val="left"/>
              <w:rPr>
                <w:rFonts w:ascii="楷体_GB2312" w:hAnsi="楷体_GB2312" w:eastAsia="宋体" w:cs="宋体"/>
                <w:kern w:val="0"/>
                <w:sz w:val="18"/>
                <w:szCs w:val="18"/>
              </w:rPr>
            </w:pPr>
            <w:r>
              <w:rPr>
                <w:rFonts w:hint="eastAsia" w:ascii="楷体_GB2312" w:hAnsi="楷体_GB2312" w:eastAsia="宋体" w:cs="宋体"/>
                <w:kern w:val="0"/>
                <w:sz w:val="18"/>
                <w:szCs w:val="18"/>
              </w:rPr>
              <w:t>维保单位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7" w:type="pct"/>
            <w:shd w:val="clear" w:color="auto" w:fill="auto"/>
            <w:noWrap/>
            <w:vAlign w:val="center"/>
          </w:tcPr>
          <w:p>
            <w:pPr>
              <w:widowControl/>
              <w:spacing w:line="300" w:lineRule="auto"/>
              <w:jc w:val="center"/>
              <w:rPr>
                <w:rFonts w:ascii="楷体_GB2312" w:hAnsi="楷体_GB2312" w:eastAsia="宋体" w:cs="宋体"/>
                <w:kern w:val="0"/>
                <w:sz w:val="18"/>
                <w:szCs w:val="18"/>
              </w:rPr>
            </w:pPr>
            <w:r>
              <w:rPr>
                <w:rFonts w:hint="eastAsia" w:ascii="楷体_GB2312" w:hAnsi="楷体_GB2312" w:eastAsia="宋体" w:cs="宋体"/>
                <w:kern w:val="0"/>
                <w:sz w:val="18"/>
                <w:szCs w:val="18"/>
              </w:rPr>
              <w:t>5</w:t>
            </w:r>
          </w:p>
        </w:tc>
        <w:tc>
          <w:tcPr>
            <w:tcW w:w="1158" w:type="pct"/>
            <w:shd w:val="clear" w:color="auto" w:fill="auto"/>
            <w:noWrap/>
            <w:vAlign w:val="center"/>
          </w:tcPr>
          <w:p>
            <w:pPr>
              <w:widowControl/>
              <w:spacing w:line="300" w:lineRule="auto"/>
              <w:rPr>
                <w:rFonts w:ascii="楷体_GB2312" w:hAnsi="楷体_GB2312" w:eastAsia="宋体" w:cs="宋体"/>
                <w:kern w:val="0"/>
                <w:sz w:val="18"/>
                <w:szCs w:val="18"/>
              </w:rPr>
            </w:pPr>
            <w:r>
              <w:rPr>
                <w:rFonts w:ascii="楷体_GB2312" w:hAnsi="楷体_GB2312" w:eastAsia="宋体" w:cs="宋体"/>
                <w:kern w:val="0"/>
                <w:sz w:val="18"/>
                <w:szCs w:val="18"/>
              </w:rPr>
              <w:t>问题管理系统</w:t>
            </w:r>
          </w:p>
        </w:tc>
        <w:tc>
          <w:tcPr>
            <w:tcW w:w="2557" w:type="pct"/>
            <w:gridSpan w:val="2"/>
            <w:vAlign w:val="center"/>
          </w:tcPr>
          <w:p>
            <w:pPr>
              <w:widowControl/>
              <w:spacing w:line="300" w:lineRule="auto"/>
              <w:rPr>
                <w:rFonts w:ascii="楷体_GB2312" w:hAnsi="楷体_GB2312" w:eastAsia="宋体" w:cs="宋体"/>
                <w:kern w:val="0"/>
                <w:sz w:val="18"/>
                <w:szCs w:val="18"/>
              </w:rPr>
            </w:pPr>
            <w:r>
              <w:rPr>
                <w:rFonts w:hint="eastAsia" w:ascii="楷体_GB2312" w:hAnsi="楷体_GB2312" w:eastAsia="宋体" w:cs="宋体"/>
                <w:kern w:val="0"/>
                <w:sz w:val="18"/>
                <w:szCs w:val="18"/>
              </w:rPr>
              <w:t>对遇到的问题进行汇总和发布</w:t>
            </w:r>
          </w:p>
        </w:tc>
        <w:tc>
          <w:tcPr>
            <w:tcW w:w="899" w:type="pct"/>
          </w:tcPr>
          <w:p>
            <w:pPr>
              <w:widowControl/>
              <w:spacing w:line="300" w:lineRule="auto"/>
              <w:jc w:val="left"/>
              <w:rPr>
                <w:rFonts w:ascii="楷体_GB2312" w:hAnsi="楷体_GB2312" w:eastAsia="宋体" w:cs="宋体"/>
                <w:kern w:val="0"/>
                <w:sz w:val="18"/>
                <w:szCs w:val="18"/>
              </w:rPr>
            </w:pPr>
            <w:r>
              <w:rPr>
                <w:rFonts w:hint="eastAsia" w:ascii="楷体_GB2312" w:hAnsi="楷体_GB2312" w:eastAsia="宋体" w:cs="宋体"/>
                <w:kern w:val="0"/>
                <w:sz w:val="18"/>
                <w:szCs w:val="18"/>
              </w:rPr>
              <w:t>维保单位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7" w:type="pct"/>
            <w:shd w:val="clear" w:color="auto" w:fill="auto"/>
            <w:noWrap/>
            <w:vAlign w:val="center"/>
          </w:tcPr>
          <w:p>
            <w:pPr>
              <w:widowControl/>
              <w:spacing w:line="300" w:lineRule="auto"/>
              <w:jc w:val="center"/>
              <w:rPr>
                <w:rFonts w:ascii="楷体_GB2312" w:hAnsi="楷体_GB2312" w:eastAsia="宋体" w:cs="宋体"/>
                <w:kern w:val="0"/>
                <w:sz w:val="18"/>
                <w:szCs w:val="18"/>
              </w:rPr>
            </w:pPr>
            <w:r>
              <w:rPr>
                <w:rFonts w:hint="eastAsia" w:ascii="楷体_GB2312" w:hAnsi="楷体_GB2312" w:eastAsia="宋体" w:cs="宋体"/>
                <w:kern w:val="0"/>
                <w:sz w:val="18"/>
                <w:szCs w:val="18"/>
              </w:rPr>
              <w:t>6</w:t>
            </w:r>
          </w:p>
        </w:tc>
        <w:tc>
          <w:tcPr>
            <w:tcW w:w="1158" w:type="pct"/>
            <w:shd w:val="clear" w:color="auto" w:fill="auto"/>
            <w:noWrap/>
            <w:vAlign w:val="center"/>
          </w:tcPr>
          <w:p>
            <w:pPr>
              <w:widowControl/>
              <w:spacing w:line="300" w:lineRule="auto"/>
              <w:rPr>
                <w:rFonts w:ascii="楷体_GB2312" w:hAnsi="楷体_GB2312" w:eastAsia="宋体" w:cs="宋体"/>
                <w:kern w:val="0"/>
                <w:sz w:val="18"/>
                <w:szCs w:val="18"/>
              </w:rPr>
            </w:pPr>
            <w:r>
              <w:rPr>
                <w:rFonts w:ascii="楷体_GB2312" w:hAnsi="楷体_GB2312" w:eastAsia="宋体" w:cs="宋体"/>
                <w:kern w:val="0"/>
                <w:sz w:val="18"/>
                <w:szCs w:val="18"/>
              </w:rPr>
              <w:t>系统优化</w:t>
            </w:r>
          </w:p>
        </w:tc>
        <w:tc>
          <w:tcPr>
            <w:tcW w:w="2557" w:type="pct"/>
            <w:gridSpan w:val="2"/>
            <w:vAlign w:val="center"/>
          </w:tcPr>
          <w:p>
            <w:pPr>
              <w:widowControl/>
              <w:spacing w:line="300" w:lineRule="auto"/>
              <w:rPr>
                <w:rFonts w:ascii="楷体_GB2312" w:hAnsi="楷体_GB2312" w:eastAsia="宋体" w:cs="宋体"/>
                <w:kern w:val="0"/>
                <w:sz w:val="18"/>
                <w:szCs w:val="18"/>
              </w:rPr>
            </w:pPr>
            <w:r>
              <w:rPr>
                <w:rFonts w:ascii="楷体_GB2312" w:hAnsi="楷体_GB2312" w:eastAsia="宋体" w:cs="宋体"/>
                <w:kern w:val="0"/>
                <w:sz w:val="18"/>
                <w:szCs w:val="18"/>
              </w:rPr>
              <w:t>对客户系统的括主机、</w:t>
            </w:r>
            <w:r>
              <w:rPr>
                <w:rFonts w:hint="eastAsia" w:ascii="楷体_GB2312" w:hAnsi="楷体_GB2312" w:eastAsia="宋体" w:cs="宋体"/>
                <w:kern w:val="0"/>
                <w:sz w:val="18"/>
                <w:szCs w:val="18"/>
              </w:rPr>
              <w:t>存储设备、</w:t>
            </w:r>
            <w:r>
              <w:rPr>
                <w:rFonts w:ascii="楷体_GB2312" w:hAnsi="楷体_GB2312" w:eastAsia="宋体" w:cs="宋体"/>
                <w:kern w:val="0"/>
                <w:sz w:val="18"/>
                <w:szCs w:val="18"/>
              </w:rPr>
              <w:t>操作系统、提供优化服务。</w:t>
            </w:r>
          </w:p>
        </w:tc>
        <w:tc>
          <w:tcPr>
            <w:tcW w:w="899" w:type="pct"/>
          </w:tcPr>
          <w:p>
            <w:pPr>
              <w:widowControl/>
              <w:spacing w:line="300" w:lineRule="auto"/>
              <w:rPr>
                <w:rFonts w:ascii="楷体_GB2312" w:hAnsi="楷体_GB2312" w:eastAsia="宋体" w:cs="宋体"/>
                <w:kern w:val="0"/>
                <w:sz w:val="18"/>
                <w:szCs w:val="18"/>
              </w:rPr>
            </w:pPr>
          </w:p>
        </w:tc>
      </w:tr>
    </w:tbl>
    <w:p>
      <w:pPr>
        <w:ind w:firstLine="420"/>
        <w:rPr>
          <w:rFonts w:ascii="楷体_GB2312" w:hAnsi="楷体_GB2312" w:eastAsia="宋体" w:cs="宋体"/>
          <w:kern w:val="0"/>
          <w:szCs w:val="21"/>
        </w:rPr>
      </w:pPr>
    </w:p>
    <w:p>
      <w:pPr>
        <w:spacing w:line="360" w:lineRule="auto"/>
        <w:ind w:firstLine="420"/>
        <w:rPr>
          <w:rFonts w:ascii="楷体_GB2312" w:hAnsi="楷体_GB2312" w:eastAsia="宋体" w:cs="宋体"/>
          <w:kern w:val="0"/>
          <w:szCs w:val="21"/>
        </w:rPr>
      </w:pPr>
      <w:r>
        <w:rPr>
          <w:rFonts w:hint="eastAsia" w:ascii="楷体_GB2312" w:hAnsi="楷体_GB2312" w:eastAsia="宋体" w:cs="宋体"/>
          <w:kern w:val="0"/>
          <w:szCs w:val="21"/>
        </w:rPr>
        <w:t>维保单位监控管理的内容包括</w:t>
      </w:r>
      <w:r>
        <w:rPr>
          <w:rFonts w:ascii="楷体_GB2312" w:hAnsi="楷体_GB2312" w:eastAsia="宋体" w:cs="宋体"/>
          <w:kern w:val="0"/>
          <w:szCs w:val="21"/>
        </w:rPr>
        <w:t>：</w:t>
      </w:r>
    </w:p>
    <w:p>
      <w:pPr>
        <w:numPr>
          <w:ilvl w:val="0"/>
          <w:numId w:val="2"/>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CPU 性能管理</w:t>
      </w:r>
      <w:r>
        <w:rPr>
          <w:rFonts w:hint="eastAsia" w:ascii="楷体_GB2312" w:hAnsi="楷体_GB2312" w:eastAsia="宋体" w:cs="宋体"/>
          <w:kern w:val="0"/>
          <w:szCs w:val="21"/>
        </w:rPr>
        <w:t>；</w:t>
      </w:r>
    </w:p>
    <w:p>
      <w:pPr>
        <w:numPr>
          <w:ilvl w:val="0"/>
          <w:numId w:val="3"/>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内存使用情况管理；</w:t>
      </w:r>
    </w:p>
    <w:p>
      <w:pPr>
        <w:numPr>
          <w:ilvl w:val="0"/>
          <w:numId w:val="3"/>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硬盘利用情况管理；</w:t>
      </w:r>
    </w:p>
    <w:p>
      <w:pPr>
        <w:numPr>
          <w:ilvl w:val="0"/>
          <w:numId w:val="3"/>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系统进程管理；</w:t>
      </w:r>
    </w:p>
    <w:p>
      <w:pPr>
        <w:numPr>
          <w:ilvl w:val="0"/>
          <w:numId w:val="3"/>
        </w:numPr>
        <w:snapToGrid w:val="0"/>
        <w:spacing w:line="360" w:lineRule="auto"/>
        <w:rPr>
          <w:rFonts w:ascii="楷体_GB2312" w:hAnsi="楷体_GB2312" w:eastAsia="宋体" w:cs="宋体"/>
          <w:kern w:val="0"/>
          <w:szCs w:val="21"/>
        </w:rPr>
      </w:pPr>
      <w:r>
        <w:rPr>
          <w:rFonts w:hint="eastAsia" w:ascii="楷体_GB2312" w:hAnsi="楷体_GB2312" w:eastAsia="宋体" w:cs="宋体"/>
          <w:kern w:val="0"/>
          <w:szCs w:val="21"/>
        </w:rPr>
        <w:t>主机</w:t>
      </w:r>
      <w:r>
        <w:rPr>
          <w:rFonts w:ascii="楷体_GB2312" w:hAnsi="楷体_GB2312" w:eastAsia="宋体" w:cs="宋体"/>
          <w:kern w:val="0"/>
          <w:szCs w:val="21"/>
        </w:rPr>
        <w:t>性能管理；</w:t>
      </w:r>
    </w:p>
    <w:p>
      <w:pPr>
        <w:numPr>
          <w:ilvl w:val="0"/>
          <w:numId w:val="3"/>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实时监控主机电源、风扇的使用情况及主机机箱内部温度；</w:t>
      </w:r>
    </w:p>
    <w:p>
      <w:pPr>
        <w:numPr>
          <w:ilvl w:val="0"/>
          <w:numId w:val="3"/>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监控主机硬盘运行状态；</w:t>
      </w:r>
    </w:p>
    <w:p>
      <w:pPr>
        <w:numPr>
          <w:ilvl w:val="0"/>
          <w:numId w:val="3"/>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监控主机网卡、阵列卡等硬件状态；</w:t>
      </w:r>
    </w:p>
    <w:p>
      <w:pPr>
        <w:numPr>
          <w:ilvl w:val="0"/>
          <w:numId w:val="3"/>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监控主机HA运行状况</w:t>
      </w:r>
      <w:r>
        <w:rPr>
          <w:rFonts w:hint="eastAsia" w:ascii="楷体_GB2312" w:hAnsi="楷体_GB2312" w:eastAsia="宋体" w:cs="宋体"/>
          <w:kern w:val="0"/>
          <w:szCs w:val="21"/>
        </w:rPr>
        <w:t>；</w:t>
      </w:r>
    </w:p>
    <w:p>
      <w:pPr>
        <w:numPr>
          <w:ilvl w:val="0"/>
          <w:numId w:val="3"/>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主机系统文件系统管理</w:t>
      </w:r>
      <w:r>
        <w:rPr>
          <w:rFonts w:hint="eastAsia" w:ascii="楷体_GB2312" w:hAnsi="楷体_GB2312" w:eastAsia="宋体" w:cs="宋体"/>
          <w:kern w:val="0"/>
          <w:szCs w:val="21"/>
        </w:rPr>
        <w:t>；</w:t>
      </w:r>
    </w:p>
    <w:p>
      <w:pPr>
        <w:numPr>
          <w:ilvl w:val="0"/>
          <w:numId w:val="3"/>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监控存储交换机设备状态、端口状态、传输速度；</w:t>
      </w:r>
    </w:p>
    <w:p>
      <w:pPr>
        <w:numPr>
          <w:ilvl w:val="0"/>
          <w:numId w:val="3"/>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监控备份服务进程、备份情况（起止时间、是否成功、出错告警）；</w:t>
      </w:r>
    </w:p>
    <w:p>
      <w:pPr>
        <w:numPr>
          <w:ilvl w:val="0"/>
          <w:numId w:val="3"/>
        </w:numPr>
        <w:snapToGrid w:val="0"/>
        <w:spacing w:line="360" w:lineRule="auto"/>
        <w:rPr>
          <w:rFonts w:ascii="楷体_GB2312" w:hAnsi="楷体_GB2312" w:eastAsia="宋体" w:cs="宋体"/>
          <w:kern w:val="0"/>
          <w:szCs w:val="21"/>
        </w:rPr>
      </w:pPr>
      <w:r>
        <w:rPr>
          <w:rFonts w:hint="eastAsia" w:ascii="楷体_GB2312" w:hAnsi="楷体_GB2312" w:eastAsia="宋体" w:cs="宋体"/>
          <w:kern w:val="0"/>
          <w:szCs w:val="21"/>
        </w:rPr>
        <w:t>监控记录</w:t>
      </w:r>
      <w:r>
        <w:rPr>
          <w:rFonts w:ascii="楷体_GB2312" w:hAnsi="楷体_GB2312" w:eastAsia="宋体" w:cs="宋体"/>
          <w:kern w:val="0"/>
          <w:szCs w:val="21"/>
        </w:rPr>
        <w:t>磁盘阵列、磁带库等存储硬件故障提示和告警</w:t>
      </w:r>
      <w:r>
        <w:rPr>
          <w:rFonts w:hint="eastAsia" w:ascii="楷体_GB2312" w:hAnsi="楷体_GB2312" w:eastAsia="宋体" w:cs="宋体"/>
          <w:kern w:val="0"/>
          <w:szCs w:val="21"/>
        </w:rPr>
        <w:t>，并及时解决故障问题</w:t>
      </w:r>
      <w:r>
        <w:rPr>
          <w:rFonts w:ascii="楷体_GB2312" w:hAnsi="楷体_GB2312" w:eastAsia="宋体" w:cs="宋体"/>
          <w:kern w:val="0"/>
          <w:szCs w:val="21"/>
        </w:rPr>
        <w:t>；</w:t>
      </w:r>
    </w:p>
    <w:p>
      <w:pPr>
        <w:numPr>
          <w:ilvl w:val="0"/>
          <w:numId w:val="3"/>
        </w:numPr>
        <w:snapToGrid w:val="0"/>
        <w:spacing w:line="360" w:lineRule="auto"/>
        <w:rPr>
          <w:rFonts w:ascii="楷体_GB2312" w:hAnsi="楷体_GB2312" w:eastAsia="宋体" w:cs="宋体"/>
          <w:kern w:val="0"/>
          <w:szCs w:val="21"/>
        </w:rPr>
      </w:pPr>
      <w:r>
        <w:rPr>
          <w:rFonts w:ascii="楷体_GB2312" w:hAnsi="楷体_GB2312" w:eastAsia="宋体" w:cs="宋体"/>
          <w:kern w:val="0"/>
          <w:szCs w:val="21"/>
        </w:rPr>
        <w:t>对存储的性能（如高速缓存、光纤通道等）进行监控</w:t>
      </w:r>
      <w:r>
        <w:rPr>
          <w:rFonts w:hint="eastAsia" w:ascii="楷体_GB2312" w:hAnsi="楷体_GB2312" w:eastAsia="宋体" w:cs="宋体"/>
          <w:kern w:val="0"/>
          <w:szCs w:val="21"/>
        </w:rPr>
        <w:t>。</w:t>
      </w:r>
    </w:p>
    <w:p>
      <w:pPr>
        <w:rPr>
          <w:rStyle w:val="56"/>
        </w:rPr>
      </w:pPr>
      <w:bookmarkStart w:id="6" w:name="_Toc462247498"/>
      <w:r>
        <w:rPr>
          <w:rStyle w:val="56"/>
          <w:rFonts w:hint="eastAsia"/>
        </w:rPr>
        <w:t>四</w:t>
      </w:r>
      <w:r>
        <w:rPr>
          <w:rStyle w:val="56"/>
        </w:rPr>
        <w:t>、详细技术服务方案</w:t>
      </w:r>
      <w:bookmarkEnd w:id="6"/>
      <w:bookmarkStart w:id="7" w:name="_Toc462247499"/>
    </w:p>
    <w:p>
      <w:pPr>
        <w:rPr>
          <w:rStyle w:val="56"/>
        </w:rPr>
      </w:pPr>
      <w:r>
        <w:rPr>
          <w:rStyle w:val="56"/>
          <w:rFonts w:hint="eastAsia"/>
        </w:rPr>
        <w:t>4</w:t>
      </w:r>
      <w:r>
        <w:rPr>
          <w:rStyle w:val="56"/>
        </w:rPr>
        <w:t>.1 保修期内服务范围</w:t>
      </w:r>
      <w:bookmarkEnd w:id="7"/>
    </w:p>
    <w:p>
      <w:pPr>
        <w:pStyle w:val="14"/>
        <w:kinsoku w:val="0"/>
        <w:overflowPunct w:val="0"/>
        <w:autoSpaceDE w:val="0"/>
        <w:autoSpaceDN w:val="0"/>
        <w:adjustRightInd w:val="0"/>
        <w:snapToGrid w:val="0"/>
        <w:ind w:firstLine="210"/>
        <w:rPr>
          <w:rFonts w:ascii="楷体_GB2312" w:hAnsi="楷体_GB2312" w:cs="宋体"/>
          <w:sz w:val="21"/>
          <w:szCs w:val="21"/>
        </w:rPr>
      </w:pPr>
      <w:r>
        <w:rPr>
          <w:rFonts w:hint="eastAsia" w:ascii="楷体_GB2312" w:hAnsi="楷体_GB2312" w:cs="宋体"/>
          <w:sz w:val="21"/>
          <w:szCs w:val="21"/>
        </w:rPr>
        <w:t>（1）确保本次保修范围内所有硬件设备的正常运行。</w:t>
      </w:r>
    </w:p>
    <w:p>
      <w:pPr>
        <w:pStyle w:val="14"/>
        <w:kinsoku w:val="0"/>
        <w:overflowPunct w:val="0"/>
        <w:autoSpaceDE w:val="0"/>
        <w:autoSpaceDN w:val="0"/>
        <w:adjustRightInd w:val="0"/>
        <w:snapToGrid w:val="0"/>
        <w:ind w:firstLine="210"/>
        <w:rPr>
          <w:rFonts w:ascii="楷体_GB2312" w:hAnsi="楷体_GB2312" w:cs="宋体"/>
          <w:sz w:val="21"/>
          <w:szCs w:val="21"/>
        </w:rPr>
      </w:pPr>
      <w:r>
        <w:rPr>
          <w:rFonts w:hint="eastAsia" w:ascii="楷体_GB2312" w:hAnsi="楷体_GB2312" w:cs="宋体"/>
          <w:sz w:val="21"/>
          <w:szCs w:val="21"/>
        </w:rPr>
        <w:t>（2）确保本次保修范围内存储系统的正常运行。</w:t>
      </w:r>
    </w:p>
    <w:p>
      <w:pPr>
        <w:pStyle w:val="14"/>
        <w:kinsoku w:val="0"/>
        <w:overflowPunct w:val="0"/>
        <w:autoSpaceDE w:val="0"/>
        <w:autoSpaceDN w:val="0"/>
        <w:adjustRightInd w:val="0"/>
        <w:snapToGrid w:val="0"/>
        <w:ind w:firstLine="210"/>
        <w:rPr>
          <w:rFonts w:ascii="楷体_GB2312" w:hAnsi="楷体_GB2312" w:cs="宋体"/>
          <w:sz w:val="21"/>
          <w:szCs w:val="21"/>
        </w:rPr>
      </w:pPr>
      <w:r>
        <w:rPr>
          <w:rFonts w:hint="eastAsia" w:ascii="楷体_GB2312" w:hAnsi="楷体_GB2312" w:cs="宋体"/>
          <w:sz w:val="21"/>
          <w:szCs w:val="21"/>
        </w:rPr>
        <w:t>（3）确保本次保修范围内核心业务系统平台的正常运行。</w:t>
      </w:r>
    </w:p>
    <w:p>
      <w:pPr>
        <w:pStyle w:val="14"/>
        <w:kinsoku w:val="0"/>
        <w:overflowPunct w:val="0"/>
        <w:autoSpaceDE w:val="0"/>
        <w:autoSpaceDN w:val="0"/>
        <w:adjustRightInd w:val="0"/>
        <w:snapToGrid w:val="0"/>
        <w:ind w:firstLine="210"/>
        <w:rPr>
          <w:rFonts w:ascii="楷体_GB2312" w:hAnsi="楷体_GB2312" w:cs="宋体"/>
          <w:sz w:val="21"/>
          <w:szCs w:val="21"/>
        </w:rPr>
      </w:pPr>
      <w:r>
        <w:rPr>
          <w:rFonts w:hint="eastAsia" w:ascii="楷体_GB2312" w:hAnsi="楷体_GB2312" w:cs="宋体"/>
          <w:sz w:val="21"/>
          <w:szCs w:val="21"/>
        </w:rPr>
        <w:t>（4）提供特殊时段（如：两会期间、结息日、春节、劳动节、国庆节、年终、系统停机维护、数据集中及用户认为必须的重要时段），以及产品安装和客户化、系统变更和迁移等的现场支持服务。</w:t>
      </w:r>
    </w:p>
    <w:p>
      <w:r>
        <w:rPr>
          <w:rFonts w:hint="eastAsia"/>
        </w:rPr>
        <w:t>在两会期间、结息日、系统升级、年终决算、数据上收、系统停机维护等对系统设备稳定运行要求较高时，维保单位将根据客户要求安排工程师现场值班。</w:t>
      </w:r>
    </w:p>
    <w:p>
      <w:bookmarkStart w:id="8" w:name="_Toc201920302"/>
      <w:bookmarkStart w:id="9" w:name="_Toc117174219"/>
      <w:bookmarkStart w:id="10" w:name="_Toc117164402"/>
      <w:bookmarkStart w:id="11" w:name="_Toc117174930"/>
      <w:bookmarkStart w:id="12" w:name="_Toc117182533"/>
      <w:bookmarkStart w:id="13" w:name="_Toc117178300"/>
      <w:bookmarkStart w:id="14" w:name="_Toc462247500"/>
      <w:r>
        <w:rPr>
          <w:rFonts w:hint="eastAsia"/>
        </w:rPr>
        <w:t>4.2服务响应</w:t>
      </w:r>
      <w:bookmarkEnd w:id="8"/>
      <w:bookmarkEnd w:id="9"/>
      <w:bookmarkEnd w:id="10"/>
      <w:bookmarkEnd w:id="11"/>
      <w:bookmarkEnd w:id="12"/>
      <w:bookmarkEnd w:id="13"/>
      <w:r>
        <w:rPr>
          <w:rFonts w:hint="eastAsia"/>
        </w:rPr>
        <w:t>承诺  24小时报修电话</w:t>
      </w:r>
      <w:bookmarkEnd w:id="14"/>
    </w:p>
    <w:p>
      <w:r>
        <w:rPr>
          <w:rFonts w:hint="eastAsia"/>
        </w:rPr>
        <w:t>（1）每周</w:t>
      </w:r>
      <w:r>
        <w:t>7</w:t>
      </w:r>
      <w:r>
        <w:rPr>
          <w:rFonts w:hint="eastAsia"/>
        </w:rPr>
        <w:t>×</w:t>
      </w:r>
      <w:r>
        <w:t>24</w:t>
      </w:r>
      <w:r>
        <w:rPr>
          <w:rFonts w:hint="eastAsia"/>
        </w:rPr>
        <w:t>，全年365天；</w:t>
      </w:r>
    </w:p>
    <w:p>
      <w:r>
        <w:rPr>
          <w:rFonts w:hint="eastAsia"/>
        </w:rPr>
        <w:t>（2）在接到用户故障报告后立即响应，出现一般故障系统仍能运行时3小时内到达现场，出现严重故障影响系统正常运行时2小时到达现场，如果经现场检查，可以预见故障发生24小时内不能解决问题，必须提供可靠的替代方案，保证用户系统在用户故障报告36小时内正常运行；</w:t>
      </w:r>
    </w:p>
    <w:p>
      <w:r>
        <w:rPr>
          <w:rFonts w:hint="eastAsia"/>
        </w:rPr>
        <w:t>（3）到达现场后，两小时内完成现场故障判断；</w:t>
      </w:r>
    </w:p>
    <w:p>
      <w:r>
        <w:rPr>
          <w:rFonts w:hint="eastAsia"/>
        </w:rPr>
        <w:t>（4）多级别服务支持；</w:t>
      </w:r>
    </w:p>
    <w:p>
      <w:r>
        <w:rPr>
          <w:rFonts w:hint="eastAsia"/>
        </w:rPr>
        <w:t>（5）在合同签定之日起5日内入场检查本次招标的弱电设备，10日内完成所有测试、调试并整理出设备运行状况，提出修复和整改计划书，建立工作档案。</w:t>
      </w:r>
    </w:p>
    <w:p>
      <w:bookmarkStart w:id="15" w:name="_Toc462247501"/>
      <w:r>
        <w:rPr>
          <w:rFonts w:hint="eastAsia"/>
        </w:rPr>
        <w:t>4.3</w:t>
      </w:r>
      <w:bookmarkStart w:id="16" w:name="_Toc51996436"/>
      <w:bookmarkStart w:id="17" w:name="_Toc117164403"/>
      <w:bookmarkStart w:id="18" w:name="_Toc117178301"/>
      <w:bookmarkStart w:id="19" w:name="_Toc282690450"/>
      <w:bookmarkStart w:id="20" w:name="_Toc459213880"/>
      <w:bookmarkStart w:id="21" w:name="_Toc117182534"/>
      <w:bookmarkStart w:id="22" w:name="_Toc201920303"/>
      <w:bookmarkStart w:id="23" w:name="_Toc117174220"/>
      <w:bookmarkStart w:id="24" w:name="_Toc117174931"/>
      <w:r>
        <w:rPr>
          <w:rFonts w:hint="eastAsia"/>
        </w:rPr>
        <w:t>维护间隔与维护情况汇报</w:t>
      </w:r>
      <w:bookmarkEnd w:id="15"/>
      <w:bookmarkEnd w:id="16"/>
      <w:bookmarkEnd w:id="17"/>
      <w:bookmarkEnd w:id="18"/>
      <w:bookmarkEnd w:id="19"/>
      <w:bookmarkEnd w:id="20"/>
      <w:bookmarkEnd w:id="21"/>
      <w:bookmarkEnd w:id="22"/>
      <w:bookmarkEnd w:id="23"/>
      <w:bookmarkEnd w:id="24"/>
    </w:p>
    <w:p>
      <w:r>
        <w:rPr>
          <w:rFonts w:hint="eastAsia"/>
        </w:rPr>
        <w:t>（1）每月一次例行巡检即预防性维护并提供例行巡检报告；</w:t>
      </w:r>
    </w:p>
    <w:p>
      <w:r>
        <w:rPr>
          <w:rFonts w:hint="eastAsia"/>
        </w:rPr>
        <w:t>（2）每月一次的系统运行性能诊断并提供性能分析报告；</w:t>
      </w:r>
    </w:p>
    <w:p>
      <w:r>
        <w:rPr>
          <w:rFonts w:hint="eastAsia"/>
        </w:rPr>
        <w:t>（3）每次硬件故障处理后提供硬件处理更换报告；</w:t>
      </w:r>
    </w:p>
    <w:p>
      <w:r>
        <w:rPr>
          <w:rFonts w:hint="eastAsia"/>
        </w:rPr>
        <w:t>（4） 每季度一次健康性检查，与</w:t>
      </w:r>
      <w:r>
        <w:t>游客中心</w:t>
      </w:r>
      <w:r>
        <w:rPr>
          <w:rFonts w:hint="eastAsia"/>
        </w:rPr>
        <w:t>有关负责人员和技术人员研讨硬件系统运行状况、全面检查硬件系统的工作状态、对硬件系统的运行环境进行评估、现场解答客户技术人员的有关硬件技术方面的问题、磁盘系统CACHE使用率、硬件可用率、故障分布和维修类型状况，最后由维护人交付硬件系统健康检查报告书，针对被服务方的设备的运行状况，提出小机及磁盘设备的配置和参数设定等方面优化建议；</w:t>
      </w:r>
    </w:p>
    <w:p>
      <w:pPr>
        <w:pStyle w:val="14"/>
        <w:kinsoku w:val="0"/>
        <w:overflowPunct w:val="0"/>
        <w:autoSpaceDE w:val="0"/>
        <w:autoSpaceDN w:val="0"/>
        <w:adjustRightInd w:val="0"/>
        <w:snapToGrid w:val="0"/>
        <w:ind w:left="525" w:hanging="525" w:hangingChars="250"/>
        <w:rPr>
          <w:rFonts w:ascii="楷体_GB2312" w:hAnsi="楷体_GB2312" w:cs="宋体"/>
          <w:sz w:val="21"/>
          <w:szCs w:val="21"/>
        </w:rPr>
      </w:pPr>
      <w:r>
        <w:rPr>
          <w:rFonts w:hint="eastAsia" w:ascii="楷体_GB2312" w:hAnsi="楷体_GB2312" w:cs="宋体"/>
          <w:sz w:val="21"/>
          <w:szCs w:val="21"/>
        </w:rPr>
        <w:t>（5） 每半年一次专家巡检，进行冗余测试，与</w:t>
      </w:r>
      <w:r>
        <w:rPr>
          <w:rFonts w:ascii="楷体_GB2312" w:hAnsi="楷体_GB2312" w:cs="宋体"/>
          <w:sz w:val="21"/>
          <w:szCs w:val="21"/>
        </w:rPr>
        <w:t>游客中心</w:t>
      </w:r>
      <w:r>
        <w:rPr>
          <w:rFonts w:hint="eastAsia" w:ascii="楷体_GB2312" w:hAnsi="楷体_GB2312" w:cs="宋体"/>
          <w:sz w:val="21"/>
          <w:szCs w:val="21"/>
        </w:rPr>
        <w:t>有关负责人员和技术人员研讨硬件系统运行状况、全面检查硬件系统的工作状态、对硬件系统的运行环境进行评估、现场解答客户技术人员的有关硬件技术方面的问题、磁盘系统CACHE使用率、硬件可用率、故障分布和维修类型状况外，需要进行链路测试，最后由维护方交付硬件系统健康检查报告书和冗余测试报告书，针对被服务方的设备的运行状况，提出小机及磁盘设备的配置和参数设定等方面优化建议；</w:t>
      </w:r>
    </w:p>
    <w:p>
      <w:pPr>
        <w:pStyle w:val="14"/>
        <w:kinsoku w:val="0"/>
        <w:overflowPunct w:val="0"/>
        <w:autoSpaceDE w:val="0"/>
        <w:autoSpaceDN w:val="0"/>
        <w:adjustRightInd w:val="0"/>
        <w:snapToGrid w:val="0"/>
        <w:ind w:left="525" w:hanging="525" w:hangingChars="250"/>
        <w:rPr>
          <w:rFonts w:ascii="楷体_GB2312" w:hAnsi="楷体_GB2312" w:cs="宋体"/>
          <w:sz w:val="21"/>
          <w:szCs w:val="21"/>
        </w:rPr>
      </w:pPr>
      <w:r>
        <w:rPr>
          <w:rFonts w:hint="eastAsia" w:ascii="楷体_GB2312" w:hAnsi="楷体_GB2312" w:cs="宋体"/>
          <w:sz w:val="21"/>
          <w:szCs w:val="21"/>
        </w:rPr>
        <w:t>（4）每季度与</w:t>
      </w:r>
      <w:r>
        <w:rPr>
          <w:rFonts w:ascii="楷体_GB2312" w:hAnsi="楷体_GB2312" w:cs="宋体"/>
          <w:sz w:val="21"/>
          <w:szCs w:val="21"/>
        </w:rPr>
        <w:t>游客中心</w:t>
      </w:r>
      <w:r>
        <w:rPr>
          <w:rFonts w:hint="eastAsia" w:ascii="楷体_GB2312" w:hAnsi="楷体_GB2312" w:cs="宋体"/>
          <w:sz w:val="21"/>
          <w:szCs w:val="21"/>
        </w:rPr>
        <w:t>举行一次维护工作总结，并在年末</w:t>
      </w:r>
      <w:r>
        <w:rPr>
          <w:rFonts w:ascii="楷体_GB2312" w:hAnsi="楷体_GB2312" w:cs="宋体"/>
          <w:sz w:val="21"/>
          <w:szCs w:val="21"/>
        </w:rPr>
        <w:t>游客中心</w:t>
      </w:r>
      <w:r>
        <w:rPr>
          <w:rFonts w:hint="eastAsia" w:ascii="楷体_GB2312" w:hAnsi="楷体_GB2312" w:cs="宋体"/>
          <w:sz w:val="21"/>
          <w:szCs w:val="21"/>
        </w:rPr>
        <w:t>提供年度设备维修情况报告；</w:t>
      </w:r>
    </w:p>
    <w:p>
      <w:pPr>
        <w:pStyle w:val="14"/>
        <w:kinsoku w:val="0"/>
        <w:overflowPunct w:val="0"/>
        <w:autoSpaceDE w:val="0"/>
        <w:autoSpaceDN w:val="0"/>
        <w:adjustRightInd w:val="0"/>
        <w:snapToGrid w:val="0"/>
        <w:ind w:left="525" w:hanging="525" w:hangingChars="250"/>
        <w:rPr>
          <w:rFonts w:ascii="楷体_GB2312" w:hAnsi="楷体_GB2312" w:cs="宋体"/>
          <w:sz w:val="21"/>
          <w:szCs w:val="21"/>
        </w:rPr>
      </w:pPr>
      <w:r>
        <w:rPr>
          <w:rFonts w:hint="eastAsia" w:ascii="楷体_GB2312" w:hAnsi="楷体_GB2312" w:cs="宋体"/>
          <w:sz w:val="21"/>
          <w:szCs w:val="21"/>
        </w:rPr>
        <w:t>（5）服务年度期满前十五天通知</w:t>
      </w:r>
      <w:r>
        <w:rPr>
          <w:rFonts w:ascii="楷体_GB2312" w:hAnsi="楷体_GB2312" w:cs="宋体"/>
          <w:sz w:val="21"/>
          <w:szCs w:val="21"/>
        </w:rPr>
        <w:t>游客中心</w:t>
      </w:r>
      <w:r>
        <w:rPr>
          <w:rFonts w:hint="eastAsia" w:ascii="楷体_GB2312" w:hAnsi="楷体_GB2312" w:cs="宋体"/>
          <w:sz w:val="21"/>
          <w:szCs w:val="21"/>
        </w:rPr>
        <w:t>并完成年度现场维护，提供年度服务总结报告。</w:t>
      </w:r>
    </w:p>
    <w:p>
      <w:pPr>
        <w:pStyle w:val="4"/>
        <w:keepNext w:val="0"/>
        <w:keepLines w:val="0"/>
        <w:kinsoku w:val="0"/>
        <w:overflowPunct w:val="0"/>
        <w:autoSpaceDE w:val="0"/>
        <w:autoSpaceDN w:val="0"/>
        <w:adjustRightInd w:val="0"/>
        <w:snapToGrid w:val="0"/>
        <w:spacing w:line="240" w:lineRule="auto"/>
        <w:rPr>
          <w:rFonts w:ascii="楷体_GB2312" w:hAnsi="楷体_GB2312" w:eastAsia="宋体" w:cs="宋体"/>
          <w:b w:val="0"/>
          <w:bCs w:val="0"/>
          <w:kern w:val="0"/>
          <w:sz w:val="21"/>
          <w:szCs w:val="21"/>
        </w:rPr>
      </w:pPr>
      <w:bookmarkStart w:id="25" w:name="_Toc462247502"/>
      <w:r>
        <w:rPr>
          <w:rFonts w:hint="eastAsia" w:ascii="楷体_GB2312" w:hAnsi="楷体_GB2312" w:eastAsia="宋体" w:cs="宋体"/>
          <w:b w:val="0"/>
          <w:bCs w:val="0"/>
          <w:kern w:val="0"/>
          <w:sz w:val="21"/>
          <w:szCs w:val="21"/>
        </w:rPr>
        <w:t>4</w:t>
      </w:r>
      <w:r>
        <w:rPr>
          <w:rFonts w:ascii="楷体_GB2312" w:hAnsi="楷体_GB2312" w:eastAsia="宋体" w:cs="宋体"/>
          <w:b w:val="0"/>
          <w:bCs w:val="0"/>
          <w:kern w:val="0"/>
          <w:sz w:val="21"/>
          <w:szCs w:val="21"/>
        </w:rPr>
        <w:t>.4 免费技术服务</w:t>
      </w:r>
      <w:bookmarkEnd w:id="25"/>
    </w:p>
    <w:p>
      <w:pPr>
        <w:pStyle w:val="14"/>
        <w:kinsoku w:val="0"/>
        <w:overflowPunct w:val="0"/>
        <w:autoSpaceDE w:val="0"/>
        <w:autoSpaceDN w:val="0"/>
        <w:adjustRightInd w:val="0"/>
        <w:snapToGrid w:val="0"/>
        <w:ind w:left="525" w:hanging="525" w:hangingChars="250"/>
        <w:rPr>
          <w:rFonts w:ascii="楷体_GB2312" w:hAnsi="楷体_GB2312" w:cs="宋体"/>
          <w:sz w:val="21"/>
          <w:szCs w:val="21"/>
        </w:rPr>
      </w:pPr>
      <w:r>
        <w:rPr>
          <w:rFonts w:ascii="楷体_GB2312" w:hAnsi="楷体_GB2312" w:cs="宋体"/>
          <w:sz w:val="21"/>
          <w:szCs w:val="21"/>
        </w:rPr>
        <w:t>（1）现场支持</w:t>
      </w:r>
    </w:p>
    <w:p>
      <w:pPr>
        <w:pStyle w:val="14"/>
        <w:kinsoku w:val="0"/>
        <w:overflowPunct w:val="0"/>
        <w:autoSpaceDE w:val="0"/>
        <w:autoSpaceDN w:val="0"/>
        <w:adjustRightInd w:val="0"/>
        <w:snapToGrid w:val="0"/>
        <w:ind w:left="420" w:leftChars="200" w:firstLineChars="200"/>
        <w:rPr>
          <w:rFonts w:ascii="楷体_GB2312" w:hAnsi="楷体_GB2312" w:cs="宋体"/>
          <w:sz w:val="21"/>
          <w:szCs w:val="21"/>
        </w:rPr>
      </w:pPr>
      <w:r>
        <w:rPr>
          <w:rFonts w:ascii="楷体_GB2312" w:hAnsi="楷体_GB2312" w:cs="宋体"/>
          <w:sz w:val="21"/>
          <w:szCs w:val="21"/>
        </w:rPr>
        <w:t>游客中心</w:t>
      </w:r>
      <w:r>
        <w:rPr>
          <w:rFonts w:hint="eastAsia" w:ascii="楷体_GB2312" w:hAnsi="楷体_GB2312" w:cs="宋体"/>
          <w:sz w:val="21"/>
          <w:szCs w:val="21"/>
        </w:rPr>
        <w:t>实施重要的项目（如安装、升级、联网、业务合并或拓展等）时，如需要维保单位配合或协助，维保单位在得到通知后积极予以响应并派工程师到</w:t>
      </w:r>
      <w:r>
        <w:rPr>
          <w:rFonts w:ascii="楷体_GB2312" w:hAnsi="楷体_GB2312" w:cs="宋体"/>
          <w:sz w:val="21"/>
          <w:szCs w:val="21"/>
        </w:rPr>
        <w:t>游客中心</w:t>
      </w:r>
      <w:r>
        <w:rPr>
          <w:rFonts w:hint="eastAsia" w:ascii="楷体_GB2312" w:hAnsi="楷体_GB2312" w:cs="宋体"/>
          <w:sz w:val="21"/>
          <w:szCs w:val="21"/>
        </w:rPr>
        <w:t>设备现场。</w:t>
      </w:r>
    </w:p>
    <w:p>
      <w:pPr>
        <w:pStyle w:val="14"/>
        <w:kinsoku w:val="0"/>
        <w:overflowPunct w:val="0"/>
        <w:autoSpaceDE w:val="0"/>
        <w:autoSpaceDN w:val="0"/>
        <w:adjustRightInd w:val="0"/>
        <w:snapToGrid w:val="0"/>
        <w:ind w:left="525" w:hanging="525" w:hangingChars="250"/>
        <w:rPr>
          <w:rFonts w:ascii="楷体_GB2312" w:hAnsi="楷体_GB2312" w:cs="宋体"/>
          <w:sz w:val="21"/>
          <w:szCs w:val="21"/>
        </w:rPr>
      </w:pPr>
      <w:r>
        <w:rPr>
          <w:rFonts w:ascii="楷体_GB2312" w:hAnsi="楷体_GB2312" w:cs="宋体"/>
          <w:sz w:val="21"/>
          <w:szCs w:val="21"/>
        </w:rPr>
        <w:t>（2）</w:t>
      </w:r>
      <w:r>
        <w:rPr>
          <w:rFonts w:hint="eastAsia" w:ascii="楷体_GB2312" w:hAnsi="楷体_GB2312" w:cs="宋体"/>
          <w:sz w:val="21"/>
          <w:szCs w:val="21"/>
        </w:rPr>
        <w:t>会议</w:t>
      </w:r>
    </w:p>
    <w:p>
      <w:pPr>
        <w:pStyle w:val="14"/>
        <w:kinsoku w:val="0"/>
        <w:overflowPunct w:val="0"/>
        <w:autoSpaceDE w:val="0"/>
        <w:autoSpaceDN w:val="0"/>
        <w:adjustRightInd w:val="0"/>
        <w:snapToGrid w:val="0"/>
        <w:ind w:left="420" w:leftChars="200" w:firstLineChars="200"/>
        <w:rPr>
          <w:rFonts w:ascii="楷体_GB2312" w:hAnsi="楷体_GB2312" w:cs="宋体"/>
          <w:sz w:val="21"/>
          <w:szCs w:val="21"/>
        </w:rPr>
      </w:pPr>
      <w:r>
        <w:rPr>
          <w:rFonts w:hint="eastAsia" w:ascii="楷体_GB2312" w:hAnsi="楷体_GB2312" w:cs="宋体"/>
          <w:sz w:val="21"/>
          <w:szCs w:val="21"/>
        </w:rPr>
        <w:t>根据游客中心的兴趣和具体的业务需求，维保单位可以定期与客户召开例会。例会将采用现场、电话、传真、邮件四种形式，以双方认为最有效的形式进行。</w:t>
      </w:r>
    </w:p>
    <w:p>
      <w:pPr>
        <w:pStyle w:val="14"/>
        <w:kinsoku w:val="0"/>
        <w:overflowPunct w:val="0"/>
        <w:autoSpaceDE w:val="0"/>
        <w:autoSpaceDN w:val="0"/>
        <w:adjustRightInd w:val="0"/>
        <w:snapToGrid w:val="0"/>
        <w:ind w:left="525" w:hanging="525" w:hangingChars="250"/>
        <w:rPr>
          <w:rFonts w:ascii="楷体_GB2312" w:hAnsi="楷体_GB2312" w:cs="宋体"/>
          <w:sz w:val="21"/>
          <w:szCs w:val="21"/>
        </w:rPr>
      </w:pPr>
      <w:r>
        <w:rPr>
          <w:rFonts w:ascii="楷体_GB2312" w:hAnsi="楷体_GB2312" w:cs="宋体"/>
          <w:sz w:val="21"/>
          <w:szCs w:val="21"/>
        </w:rPr>
        <w:t>（3）技术交流</w:t>
      </w:r>
    </w:p>
    <w:p>
      <w:pPr>
        <w:pStyle w:val="14"/>
        <w:kinsoku w:val="0"/>
        <w:overflowPunct w:val="0"/>
        <w:autoSpaceDE w:val="0"/>
        <w:autoSpaceDN w:val="0"/>
        <w:adjustRightInd w:val="0"/>
        <w:snapToGrid w:val="0"/>
        <w:ind w:left="420" w:leftChars="200" w:firstLineChars="200"/>
        <w:rPr>
          <w:rFonts w:ascii="楷体_GB2312" w:hAnsi="楷体_GB2312" w:cs="宋体"/>
          <w:sz w:val="21"/>
          <w:szCs w:val="21"/>
        </w:rPr>
      </w:pPr>
      <w:r>
        <w:rPr>
          <w:rFonts w:hint="eastAsia" w:ascii="楷体_GB2312" w:hAnsi="楷体_GB2312" w:cs="宋体"/>
          <w:sz w:val="21"/>
          <w:szCs w:val="21"/>
        </w:rPr>
        <w:t>维保单位通过规范化的技术文档，与游客中心之间组织定期的技术交流活动，这样有利于双方技术人员水平的提高，更能有助于提高设备的管理效率和可靠运行。</w:t>
      </w:r>
    </w:p>
    <w:p>
      <w:pPr>
        <w:pStyle w:val="14"/>
        <w:kinsoku w:val="0"/>
        <w:overflowPunct w:val="0"/>
        <w:autoSpaceDE w:val="0"/>
        <w:autoSpaceDN w:val="0"/>
        <w:adjustRightInd w:val="0"/>
        <w:snapToGrid w:val="0"/>
        <w:ind w:left="420" w:leftChars="200" w:firstLineChars="200"/>
        <w:rPr>
          <w:rFonts w:ascii="楷体_GB2312" w:hAnsi="楷体_GB2312" w:cs="宋体"/>
          <w:sz w:val="21"/>
          <w:szCs w:val="21"/>
        </w:rPr>
      </w:pPr>
      <w:r>
        <w:rPr>
          <w:rFonts w:hint="eastAsia" w:ascii="楷体_GB2312" w:hAnsi="楷体_GB2312" w:cs="宋体"/>
          <w:sz w:val="21"/>
          <w:szCs w:val="21"/>
        </w:rPr>
        <w:t>维保单位要根据客户的需要，提供硬件、系统和数据库方面的培训，如果游客中心设备需要改造、升级，还应为游客中心提供免费的咨询服务。</w:t>
      </w:r>
    </w:p>
    <w:p>
      <w:pPr>
        <w:pStyle w:val="4"/>
        <w:keepNext w:val="0"/>
        <w:keepLines w:val="0"/>
        <w:kinsoku w:val="0"/>
        <w:overflowPunct w:val="0"/>
        <w:autoSpaceDE w:val="0"/>
        <w:autoSpaceDN w:val="0"/>
        <w:adjustRightInd w:val="0"/>
        <w:snapToGrid w:val="0"/>
        <w:spacing w:line="240" w:lineRule="auto"/>
        <w:rPr>
          <w:rFonts w:ascii="楷体_GB2312" w:hAnsi="楷体_GB2312" w:eastAsia="宋体" w:cs="宋体"/>
          <w:b w:val="0"/>
          <w:bCs w:val="0"/>
          <w:kern w:val="0"/>
          <w:sz w:val="21"/>
          <w:szCs w:val="21"/>
        </w:rPr>
      </w:pPr>
      <w:bookmarkStart w:id="26" w:name="_Toc462247503"/>
      <w:r>
        <w:rPr>
          <w:rFonts w:hint="eastAsia" w:ascii="楷体_GB2312" w:hAnsi="楷体_GB2312" w:eastAsia="宋体" w:cs="宋体"/>
          <w:b w:val="0"/>
          <w:bCs w:val="0"/>
          <w:kern w:val="0"/>
          <w:sz w:val="21"/>
          <w:szCs w:val="21"/>
        </w:rPr>
        <w:t>4.5</w:t>
      </w:r>
      <w:r>
        <w:rPr>
          <w:rFonts w:ascii="楷体_GB2312" w:hAnsi="楷体_GB2312" w:eastAsia="宋体" w:cs="宋体"/>
          <w:b w:val="0"/>
          <w:bCs w:val="0"/>
          <w:kern w:val="0"/>
          <w:sz w:val="21"/>
          <w:szCs w:val="21"/>
        </w:rPr>
        <w:t>免费远程诊断</w:t>
      </w:r>
      <w:bookmarkEnd w:id="26"/>
    </w:p>
    <w:p>
      <w:pPr>
        <w:pStyle w:val="14"/>
        <w:kinsoku w:val="0"/>
        <w:overflowPunct w:val="0"/>
        <w:autoSpaceDE w:val="0"/>
        <w:autoSpaceDN w:val="0"/>
        <w:adjustRightInd w:val="0"/>
        <w:snapToGrid w:val="0"/>
        <w:ind w:firstLineChars="200"/>
        <w:rPr>
          <w:rFonts w:ascii="楷体_GB2312" w:hAnsi="楷体_GB2312" w:cs="宋体"/>
          <w:sz w:val="21"/>
          <w:szCs w:val="21"/>
        </w:rPr>
      </w:pPr>
      <w:r>
        <w:rPr>
          <w:rFonts w:hint="eastAsia" w:ascii="楷体_GB2312" w:hAnsi="楷体_GB2312" w:cs="宋体"/>
          <w:sz w:val="21"/>
          <w:szCs w:val="21"/>
        </w:rPr>
        <w:t>对于保修设备的系统及性能问题，维保单位提供远程的诊断服务，远程拨入系统分析和远程系统性能监控，以达到对故障的远程解决。</w:t>
      </w:r>
    </w:p>
    <w:p>
      <w:pPr>
        <w:pStyle w:val="14"/>
        <w:kinsoku w:val="0"/>
        <w:overflowPunct w:val="0"/>
        <w:autoSpaceDE w:val="0"/>
        <w:autoSpaceDN w:val="0"/>
        <w:adjustRightInd w:val="0"/>
        <w:snapToGrid w:val="0"/>
        <w:ind w:firstLineChars="200"/>
        <w:rPr>
          <w:rFonts w:ascii="楷体_GB2312" w:hAnsi="楷体_GB2312" w:cs="宋体"/>
          <w:sz w:val="21"/>
          <w:szCs w:val="21"/>
        </w:rPr>
      </w:pPr>
      <w:r>
        <w:rPr>
          <w:rFonts w:hint="eastAsia" w:ascii="楷体_GB2312" w:hAnsi="楷体_GB2312" w:cs="宋体"/>
          <w:sz w:val="21"/>
          <w:szCs w:val="21"/>
        </w:rPr>
        <w:t>远程诊断可以为游客中心提供最为迅速的技术支持，以最快捷方式保证设备的正常运行。</w:t>
      </w:r>
    </w:p>
    <w:p>
      <w:pPr>
        <w:pStyle w:val="4"/>
        <w:keepNext w:val="0"/>
        <w:keepLines w:val="0"/>
        <w:kinsoku w:val="0"/>
        <w:overflowPunct w:val="0"/>
        <w:autoSpaceDE w:val="0"/>
        <w:autoSpaceDN w:val="0"/>
        <w:adjustRightInd w:val="0"/>
        <w:snapToGrid w:val="0"/>
        <w:spacing w:line="240" w:lineRule="auto"/>
        <w:rPr>
          <w:rFonts w:ascii="楷体_GB2312" w:hAnsi="楷体_GB2312" w:eastAsia="宋体" w:cs="宋体"/>
          <w:b w:val="0"/>
          <w:bCs w:val="0"/>
          <w:kern w:val="0"/>
          <w:sz w:val="21"/>
          <w:szCs w:val="21"/>
        </w:rPr>
      </w:pPr>
      <w:bookmarkStart w:id="27" w:name="_Toc462247504"/>
      <w:r>
        <w:rPr>
          <w:rFonts w:hint="eastAsia" w:ascii="楷体_GB2312" w:hAnsi="楷体_GB2312" w:eastAsia="宋体" w:cs="宋体"/>
          <w:b w:val="0"/>
          <w:bCs w:val="0"/>
          <w:kern w:val="0"/>
          <w:sz w:val="21"/>
          <w:szCs w:val="21"/>
        </w:rPr>
        <w:t>4</w:t>
      </w:r>
      <w:r>
        <w:rPr>
          <w:rFonts w:ascii="楷体_GB2312" w:hAnsi="楷体_GB2312" w:eastAsia="宋体" w:cs="宋体"/>
          <w:b w:val="0"/>
          <w:bCs w:val="0"/>
          <w:kern w:val="0"/>
          <w:sz w:val="21"/>
          <w:szCs w:val="21"/>
        </w:rPr>
        <w:t>.6 技术人员保障</w:t>
      </w:r>
      <w:bookmarkEnd w:id="27"/>
    </w:p>
    <w:p>
      <w:pPr>
        <w:pStyle w:val="14"/>
        <w:kinsoku w:val="0"/>
        <w:overflowPunct w:val="0"/>
        <w:autoSpaceDE w:val="0"/>
        <w:autoSpaceDN w:val="0"/>
        <w:adjustRightInd w:val="0"/>
        <w:snapToGrid w:val="0"/>
        <w:ind w:firstLine="210"/>
        <w:rPr>
          <w:rFonts w:ascii="楷体_GB2312" w:hAnsi="楷体_GB2312" w:cs="宋体"/>
          <w:sz w:val="21"/>
          <w:szCs w:val="21"/>
        </w:rPr>
      </w:pPr>
      <w:r>
        <w:rPr>
          <w:rFonts w:hint="eastAsia" w:ascii="楷体_GB2312" w:hAnsi="楷体_GB2312" w:cs="宋体"/>
          <w:sz w:val="21"/>
          <w:szCs w:val="21"/>
        </w:rPr>
        <w:t>（1）给游客中心服务的工程师应具备本专业资质，在同类项目上的工作年限在五年以上，负责过大型项目的经验；</w:t>
      </w:r>
    </w:p>
    <w:p>
      <w:pPr>
        <w:pStyle w:val="14"/>
        <w:kinsoku w:val="0"/>
        <w:overflowPunct w:val="0"/>
        <w:autoSpaceDE w:val="0"/>
        <w:autoSpaceDN w:val="0"/>
        <w:adjustRightInd w:val="0"/>
        <w:snapToGrid w:val="0"/>
        <w:ind w:firstLine="210"/>
        <w:rPr>
          <w:rFonts w:ascii="楷体_GB2312" w:hAnsi="楷体_GB2312" w:cs="宋体"/>
          <w:sz w:val="21"/>
          <w:szCs w:val="21"/>
        </w:rPr>
      </w:pPr>
      <w:r>
        <w:rPr>
          <w:rFonts w:hint="eastAsia" w:ascii="楷体_GB2312" w:hAnsi="楷体_GB2312" w:cs="宋体"/>
          <w:sz w:val="21"/>
          <w:szCs w:val="21"/>
        </w:rPr>
        <w:t>（2）为游客中心的设备保修项目提供多级的技术支持服务，国内工程师对普通硬件及系统问题进行解决，当由于系统内部缺陷或工艺问题引起的问题，技术专家可以提供现场技术支持；</w:t>
      </w:r>
    </w:p>
    <w:p>
      <w:pPr>
        <w:pStyle w:val="14"/>
        <w:kinsoku w:val="0"/>
        <w:overflowPunct w:val="0"/>
        <w:autoSpaceDE w:val="0"/>
        <w:autoSpaceDN w:val="0"/>
        <w:adjustRightInd w:val="0"/>
        <w:snapToGrid w:val="0"/>
        <w:ind w:firstLine="315" w:firstLineChars="150"/>
        <w:rPr>
          <w:rFonts w:ascii="楷体_GB2312" w:hAnsi="楷体_GB2312" w:cs="宋体"/>
          <w:sz w:val="21"/>
          <w:szCs w:val="21"/>
        </w:rPr>
      </w:pPr>
      <w:r>
        <w:rPr>
          <w:rFonts w:hint="eastAsia" w:ascii="楷体_GB2312" w:hAnsi="楷体_GB2312" w:cs="宋体"/>
          <w:sz w:val="21"/>
          <w:szCs w:val="21"/>
        </w:rPr>
        <w:t>(3)维保单位需要为游客中心提供上门服务人员个人履历。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C3A52"/>
    <w:multiLevelType w:val="multilevel"/>
    <w:tmpl w:val="172C3A5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443C67B9"/>
    <w:multiLevelType w:val="multilevel"/>
    <w:tmpl w:val="443C67B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5CF03CCF"/>
    <w:multiLevelType w:val="multilevel"/>
    <w:tmpl w:val="5CF03CC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f9ecd660-1dbc-48db-8f50-4841415ff63b"/>
  </w:docVars>
  <w:rsids>
    <w:rsidRoot w:val="00553867"/>
    <w:rsid w:val="0001574E"/>
    <w:rsid w:val="00033151"/>
    <w:rsid w:val="00051969"/>
    <w:rsid w:val="00065C62"/>
    <w:rsid w:val="000A5955"/>
    <w:rsid w:val="000E4E64"/>
    <w:rsid w:val="000F5D0E"/>
    <w:rsid w:val="000F6AD1"/>
    <w:rsid w:val="00103358"/>
    <w:rsid w:val="00153C5E"/>
    <w:rsid w:val="001A0038"/>
    <w:rsid w:val="001A1AE0"/>
    <w:rsid w:val="001A6E72"/>
    <w:rsid w:val="001D0AB0"/>
    <w:rsid w:val="001F50AD"/>
    <w:rsid w:val="002152F0"/>
    <w:rsid w:val="00223CFE"/>
    <w:rsid w:val="002E5C15"/>
    <w:rsid w:val="002F1971"/>
    <w:rsid w:val="00333F5E"/>
    <w:rsid w:val="0033509E"/>
    <w:rsid w:val="00384B15"/>
    <w:rsid w:val="00386E3A"/>
    <w:rsid w:val="003903A0"/>
    <w:rsid w:val="00390C98"/>
    <w:rsid w:val="003937B7"/>
    <w:rsid w:val="003C6354"/>
    <w:rsid w:val="004364D2"/>
    <w:rsid w:val="00453A83"/>
    <w:rsid w:val="00467D40"/>
    <w:rsid w:val="00495641"/>
    <w:rsid w:val="004D69BA"/>
    <w:rsid w:val="004E0293"/>
    <w:rsid w:val="005235DE"/>
    <w:rsid w:val="00553867"/>
    <w:rsid w:val="005672F2"/>
    <w:rsid w:val="00573FAC"/>
    <w:rsid w:val="00592D3D"/>
    <w:rsid w:val="0061395E"/>
    <w:rsid w:val="00643ADA"/>
    <w:rsid w:val="00690558"/>
    <w:rsid w:val="00693A38"/>
    <w:rsid w:val="0069688B"/>
    <w:rsid w:val="006B68F4"/>
    <w:rsid w:val="006C5E66"/>
    <w:rsid w:val="006E2E6D"/>
    <w:rsid w:val="00727B37"/>
    <w:rsid w:val="0074138B"/>
    <w:rsid w:val="00787331"/>
    <w:rsid w:val="00792405"/>
    <w:rsid w:val="007A5A04"/>
    <w:rsid w:val="007D58EA"/>
    <w:rsid w:val="007F5C85"/>
    <w:rsid w:val="00804059"/>
    <w:rsid w:val="00825685"/>
    <w:rsid w:val="008369DB"/>
    <w:rsid w:val="00855029"/>
    <w:rsid w:val="0086404D"/>
    <w:rsid w:val="0087419F"/>
    <w:rsid w:val="008A2E47"/>
    <w:rsid w:val="008B589E"/>
    <w:rsid w:val="008C2AB1"/>
    <w:rsid w:val="008C724D"/>
    <w:rsid w:val="008D164E"/>
    <w:rsid w:val="00924A1D"/>
    <w:rsid w:val="009511D9"/>
    <w:rsid w:val="009641AA"/>
    <w:rsid w:val="009943BF"/>
    <w:rsid w:val="009A3BCF"/>
    <w:rsid w:val="00A1342B"/>
    <w:rsid w:val="00A2008E"/>
    <w:rsid w:val="00A6308B"/>
    <w:rsid w:val="00A763F8"/>
    <w:rsid w:val="00A844E1"/>
    <w:rsid w:val="00A86304"/>
    <w:rsid w:val="00AB117C"/>
    <w:rsid w:val="00AB48FB"/>
    <w:rsid w:val="00AD3EA1"/>
    <w:rsid w:val="00AD6FE5"/>
    <w:rsid w:val="00AF192C"/>
    <w:rsid w:val="00AF44A4"/>
    <w:rsid w:val="00AF6F27"/>
    <w:rsid w:val="00B145AB"/>
    <w:rsid w:val="00B14BE2"/>
    <w:rsid w:val="00B16678"/>
    <w:rsid w:val="00B73930"/>
    <w:rsid w:val="00B86F57"/>
    <w:rsid w:val="00C94EB1"/>
    <w:rsid w:val="00CB5F9A"/>
    <w:rsid w:val="00CC5FB2"/>
    <w:rsid w:val="00D006AE"/>
    <w:rsid w:val="00D154BE"/>
    <w:rsid w:val="00D16786"/>
    <w:rsid w:val="00D27BF1"/>
    <w:rsid w:val="00D66BFD"/>
    <w:rsid w:val="00D9004C"/>
    <w:rsid w:val="00D90D99"/>
    <w:rsid w:val="00DC5108"/>
    <w:rsid w:val="00DE0863"/>
    <w:rsid w:val="00E23F12"/>
    <w:rsid w:val="00E27C82"/>
    <w:rsid w:val="00E46840"/>
    <w:rsid w:val="00EB0DC4"/>
    <w:rsid w:val="00EF4D85"/>
    <w:rsid w:val="00F05118"/>
    <w:rsid w:val="00F6375D"/>
    <w:rsid w:val="00F83ACA"/>
    <w:rsid w:val="00FD403A"/>
    <w:rsid w:val="00FF574A"/>
    <w:rsid w:val="227E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Body Text"/>
    <w:basedOn w:val="1"/>
    <w:link w:val="57"/>
    <w:semiHidden/>
    <w:unhideWhenUsed/>
    <w:qFormat/>
    <w:uiPriority w:val="99"/>
    <w:pPr>
      <w:spacing w:after="120"/>
    </w:pPr>
  </w:style>
  <w:style w:type="paragraph" w:styleId="7">
    <w:name w:val="toc 3"/>
    <w:basedOn w:val="1"/>
    <w:next w:val="1"/>
    <w:unhideWhenUsed/>
    <w:qFormat/>
    <w:uiPriority w:val="39"/>
    <w:pPr>
      <w:ind w:left="840" w:leftChars="400"/>
    </w:pPr>
  </w:style>
  <w:style w:type="paragraph" w:styleId="8">
    <w:name w:val="Balloon Text"/>
    <w:basedOn w:val="1"/>
    <w:link w:val="53"/>
    <w:semiHidden/>
    <w:unhideWhenUsed/>
    <w:qFormat/>
    <w:uiPriority w:val="99"/>
    <w:rPr>
      <w:sz w:val="18"/>
      <w:szCs w:val="18"/>
    </w:rPr>
  </w:style>
  <w:style w:type="paragraph" w:styleId="9">
    <w:name w:val="footer"/>
    <w:basedOn w:val="1"/>
    <w:link w:val="20"/>
    <w:unhideWhenUsed/>
    <w:uiPriority w:val="99"/>
    <w:pPr>
      <w:tabs>
        <w:tab w:val="center" w:pos="4153"/>
        <w:tab w:val="right" w:pos="8306"/>
      </w:tabs>
      <w:snapToGrid w:val="0"/>
      <w:jc w:val="left"/>
    </w:pPr>
    <w:rPr>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List"/>
    <w:basedOn w:val="1"/>
    <w:qFormat/>
    <w:uiPriority w:val="0"/>
    <w:pPr>
      <w:ind w:left="200" w:hanging="200" w:hangingChars="200"/>
      <w:contextualSpacing/>
    </w:pPr>
    <w:rPr>
      <w:rFonts w:ascii="Times New Roman" w:hAnsi="Times New Roman" w:eastAsia="宋体" w:cs="Times New Roman"/>
      <w:szCs w:val="24"/>
    </w:rPr>
  </w:style>
  <w:style w:type="paragraph" w:styleId="13">
    <w:name w:val="toc 2"/>
    <w:basedOn w:val="1"/>
    <w:next w:val="1"/>
    <w:unhideWhenUsed/>
    <w:qFormat/>
    <w:uiPriority w:val="39"/>
    <w:pPr>
      <w:ind w:left="420" w:leftChars="200"/>
    </w:pPr>
  </w:style>
  <w:style w:type="paragraph" w:styleId="14">
    <w:name w:val="Body Text First Indent"/>
    <w:basedOn w:val="6"/>
    <w:link w:val="58"/>
    <w:unhideWhenUsed/>
    <w:qFormat/>
    <w:uiPriority w:val="0"/>
    <w:pPr>
      <w:tabs>
        <w:tab w:val="left" w:pos="477"/>
      </w:tabs>
      <w:ind w:firstLine="420" w:firstLineChars="100"/>
    </w:pPr>
    <w:rPr>
      <w:rFonts w:ascii="Calibri" w:hAnsi="Calibri" w:eastAsia="宋体" w:cs="Times New Roman"/>
      <w:kern w:val="0"/>
      <w:sz w:val="28"/>
      <w:szCs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Hyperlink"/>
    <w:basedOn w:val="17"/>
    <w:unhideWhenUsed/>
    <w:qFormat/>
    <w:uiPriority w:val="99"/>
    <w:rPr>
      <w:color w:val="0000FF" w:themeColor="hyperlink"/>
      <w:u w:val="single"/>
    </w:rPr>
  </w:style>
  <w:style w:type="character" w:customStyle="1" w:styleId="19">
    <w:name w:val="页眉 字符"/>
    <w:basedOn w:val="17"/>
    <w:link w:val="10"/>
    <w:uiPriority w:val="99"/>
    <w:rPr>
      <w:sz w:val="18"/>
      <w:szCs w:val="18"/>
    </w:rPr>
  </w:style>
  <w:style w:type="character" w:customStyle="1" w:styleId="20">
    <w:name w:val="页脚 字符"/>
    <w:basedOn w:val="17"/>
    <w:link w:val="9"/>
    <w:uiPriority w:val="99"/>
    <w:rPr>
      <w:sz w:val="18"/>
      <w:szCs w:val="18"/>
    </w:rPr>
  </w:style>
  <w:style w:type="paragraph" w:customStyle="1" w:styleId="21">
    <w:name w:val="p110"/>
    <w:basedOn w:val="1"/>
    <w:uiPriority w:val="0"/>
    <w:pPr>
      <w:widowControl/>
      <w:spacing w:line="480" w:lineRule="atLeast"/>
      <w:ind w:firstLine="480"/>
      <w:jc w:val="left"/>
    </w:pPr>
    <w:rPr>
      <w:rFonts w:ascii="宋体" w:hAnsi="宋体" w:eastAsia="宋体" w:cs="宋体"/>
      <w:kern w:val="0"/>
      <w:szCs w:val="21"/>
    </w:rPr>
  </w:style>
  <w:style w:type="character" w:customStyle="1" w:styleId="22">
    <w:name w:val="s11"/>
    <w:basedOn w:val="17"/>
    <w:uiPriority w:val="0"/>
    <w:rPr>
      <w:b/>
      <w:bCs/>
      <w:color w:val="333333"/>
    </w:rPr>
  </w:style>
  <w:style w:type="paragraph" w:customStyle="1" w:styleId="23">
    <w:name w:val="p24"/>
    <w:basedOn w:val="1"/>
    <w:uiPriority w:val="0"/>
    <w:pPr>
      <w:widowControl/>
      <w:spacing w:line="480" w:lineRule="atLeast"/>
      <w:ind w:firstLine="480"/>
      <w:jc w:val="left"/>
    </w:pPr>
    <w:rPr>
      <w:rFonts w:ascii="Times New Roman" w:hAnsi="Times New Roman" w:eastAsia="宋体" w:cs="Times New Roman"/>
      <w:kern w:val="0"/>
      <w:szCs w:val="21"/>
    </w:rPr>
  </w:style>
  <w:style w:type="character" w:customStyle="1" w:styleId="24">
    <w:name w:val="s21"/>
    <w:basedOn w:val="17"/>
    <w:uiPriority w:val="0"/>
    <w:rPr>
      <w:color w:val="000000"/>
    </w:rPr>
  </w:style>
  <w:style w:type="character" w:customStyle="1" w:styleId="25">
    <w:name w:val="s31"/>
    <w:basedOn w:val="17"/>
    <w:uiPriority w:val="0"/>
    <w:rPr>
      <w:rFonts w:hint="eastAsia" w:ascii="宋体" w:hAnsi="宋体" w:eastAsia="宋体"/>
      <w:color w:val="000000"/>
    </w:rPr>
  </w:style>
  <w:style w:type="paragraph" w:customStyle="1" w:styleId="26">
    <w:name w:val="p31"/>
    <w:basedOn w:val="1"/>
    <w:uiPriority w:val="0"/>
    <w:pPr>
      <w:widowControl/>
      <w:spacing w:line="480" w:lineRule="atLeast"/>
      <w:ind w:firstLine="480"/>
      <w:jc w:val="left"/>
    </w:pPr>
    <w:rPr>
      <w:rFonts w:ascii="Times New Roman" w:hAnsi="Times New Roman" w:eastAsia="宋体" w:cs="Times New Roman"/>
      <w:kern w:val="0"/>
      <w:szCs w:val="21"/>
    </w:rPr>
  </w:style>
  <w:style w:type="character" w:customStyle="1" w:styleId="27">
    <w:name w:val="s41"/>
    <w:basedOn w:val="17"/>
    <w:uiPriority w:val="0"/>
  </w:style>
  <w:style w:type="paragraph" w:customStyle="1" w:styleId="28">
    <w:name w:val="p41"/>
    <w:basedOn w:val="1"/>
    <w:uiPriority w:val="0"/>
    <w:pPr>
      <w:widowControl/>
      <w:spacing w:line="480" w:lineRule="atLeast"/>
      <w:ind w:firstLine="480"/>
      <w:jc w:val="left"/>
    </w:pPr>
    <w:rPr>
      <w:rFonts w:ascii="Times New Roman" w:hAnsi="Times New Roman" w:eastAsia="宋体" w:cs="Times New Roman"/>
      <w:kern w:val="0"/>
      <w:szCs w:val="21"/>
    </w:rPr>
  </w:style>
  <w:style w:type="paragraph" w:customStyle="1" w:styleId="29">
    <w:name w:val="p51"/>
    <w:basedOn w:val="1"/>
    <w:uiPriority w:val="0"/>
    <w:pPr>
      <w:widowControl/>
      <w:spacing w:line="480" w:lineRule="atLeast"/>
      <w:ind w:firstLine="480"/>
      <w:jc w:val="left"/>
    </w:pPr>
    <w:rPr>
      <w:rFonts w:ascii="Times New Roman" w:hAnsi="Times New Roman" w:eastAsia="宋体" w:cs="Times New Roman"/>
      <w:kern w:val="0"/>
      <w:szCs w:val="21"/>
    </w:rPr>
  </w:style>
  <w:style w:type="paragraph" w:customStyle="1" w:styleId="30">
    <w:name w:val="p61"/>
    <w:basedOn w:val="1"/>
    <w:uiPriority w:val="0"/>
    <w:pPr>
      <w:widowControl/>
      <w:spacing w:line="480" w:lineRule="atLeast"/>
      <w:ind w:firstLine="480"/>
      <w:jc w:val="left"/>
    </w:pPr>
    <w:rPr>
      <w:rFonts w:ascii="Times New Roman" w:hAnsi="Times New Roman" w:eastAsia="宋体" w:cs="Times New Roman"/>
      <w:kern w:val="0"/>
      <w:szCs w:val="21"/>
    </w:rPr>
  </w:style>
  <w:style w:type="paragraph" w:customStyle="1" w:styleId="31">
    <w:name w:val="p71"/>
    <w:basedOn w:val="1"/>
    <w:uiPriority w:val="0"/>
    <w:pPr>
      <w:widowControl/>
      <w:spacing w:line="480" w:lineRule="atLeast"/>
      <w:ind w:firstLine="480"/>
      <w:jc w:val="left"/>
    </w:pPr>
    <w:rPr>
      <w:rFonts w:ascii="宋体" w:hAnsi="宋体" w:eastAsia="宋体" w:cs="宋体"/>
      <w:kern w:val="0"/>
      <w:szCs w:val="21"/>
    </w:rPr>
  </w:style>
  <w:style w:type="paragraph" w:customStyle="1" w:styleId="32">
    <w:name w:val="p81"/>
    <w:basedOn w:val="1"/>
    <w:uiPriority w:val="0"/>
    <w:pPr>
      <w:widowControl/>
      <w:spacing w:line="480" w:lineRule="atLeast"/>
      <w:ind w:firstLine="480"/>
      <w:jc w:val="left"/>
    </w:pPr>
    <w:rPr>
      <w:rFonts w:ascii="Times New Roman" w:hAnsi="Times New Roman" w:eastAsia="宋体" w:cs="Times New Roman"/>
      <w:kern w:val="0"/>
      <w:szCs w:val="21"/>
    </w:rPr>
  </w:style>
  <w:style w:type="paragraph" w:customStyle="1" w:styleId="33">
    <w:name w:val="p91"/>
    <w:basedOn w:val="1"/>
    <w:uiPriority w:val="0"/>
    <w:pPr>
      <w:widowControl/>
      <w:spacing w:line="480" w:lineRule="atLeast"/>
      <w:ind w:firstLine="480"/>
      <w:jc w:val="left"/>
    </w:pPr>
    <w:rPr>
      <w:rFonts w:ascii="Times New Roman" w:hAnsi="Times New Roman" w:eastAsia="宋体" w:cs="Times New Roman"/>
      <w:kern w:val="0"/>
      <w:szCs w:val="21"/>
    </w:rPr>
  </w:style>
  <w:style w:type="paragraph" w:customStyle="1" w:styleId="34">
    <w:name w:val="p101"/>
    <w:basedOn w:val="1"/>
    <w:uiPriority w:val="0"/>
    <w:pPr>
      <w:widowControl/>
      <w:spacing w:line="480" w:lineRule="atLeast"/>
      <w:ind w:firstLine="480"/>
      <w:jc w:val="left"/>
    </w:pPr>
    <w:rPr>
      <w:rFonts w:ascii="Times New Roman" w:hAnsi="Times New Roman" w:eastAsia="宋体" w:cs="Times New Roman"/>
      <w:kern w:val="0"/>
      <w:szCs w:val="21"/>
    </w:rPr>
  </w:style>
  <w:style w:type="paragraph" w:customStyle="1" w:styleId="35">
    <w:name w:val="p111"/>
    <w:basedOn w:val="1"/>
    <w:uiPriority w:val="0"/>
    <w:pPr>
      <w:widowControl/>
      <w:spacing w:line="480" w:lineRule="atLeast"/>
      <w:ind w:firstLine="480"/>
      <w:jc w:val="left"/>
    </w:pPr>
    <w:rPr>
      <w:rFonts w:ascii="Times New Roman" w:hAnsi="Times New Roman" w:eastAsia="宋体" w:cs="Times New Roman"/>
      <w:kern w:val="0"/>
      <w:szCs w:val="21"/>
    </w:rPr>
  </w:style>
  <w:style w:type="character" w:customStyle="1" w:styleId="36">
    <w:name w:val="s51"/>
    <w:basedOn w:val="17"/>
    <w:uiPriority w:val="0"/>
    <w:rPr>
      <w:rFonts w:hint="default" w:ascii="??" w:hAnsi="??"/>
      <w:color w:val="000000"/>
    </w:rPr>
  </w:style>
  <w:style w:type="character" w:customStyle="1" w:styleId="37">
    <w:name w:val="s61"/>
    <w:basedOn w:val="17"/>
    <w:uiPriority w:val="0"/>
    <w:rPr>
      <w:b/>
      <w:bCs/>
      <w:color w:val="000000"/>
    </w:rPr>
  </w:style>
  <w:style w:type="paragraph" w:customStyle="1" w:styleId="38">
    <w:name w:val="p121"/>
    <w:basedOn w:val="1"/>
    <w:uiPriority w:val="0"/>
    <w:pPr>
      <w:widowControl/>
      <w:spacing w:line="480" w:lineRule="atLeast"/>
      <w:ind w:firstLine="480"/>
      <w:jc w:val="left"/>
    </w:pPr>
    <w:rPr>
      <w:rFonts w:ascii="宋体" w:hAnsi="宋体" w:eastAsia="宋体" w:cs="宋体"/>
      <w:kern w:val="0"/>
      <w:szCs w:val="21"/>
    </w:rPr>
  </w:style>
  <w:style w:type="character" w:customStyle="1" w:styleId="39">
    <w:name w:val="s71"/>
    <w:basedOn w:val="17"/>
    <w:uiPriority w:val="0"/>
  </w:style>
  <w:style w:type="paragraph" w:customStyle="1" w:styleId="40">
    <w:name w:val="p131"/>
    <w:basedOn w:val="1"/>
    <w:uiPriority w:val="0"/>
    <w:pPr>
      <w:widowControl/>
      <w:spacing w:line="480" w:lineRule="atLeast"/>
      <w:ind w:firstLine="480"/>
      <w:jc w:val="left"/>
    </w:pPr>
    <w:rPr>
      <w:rFonts w:ascii="??" w:hAnsi="??" w:eastAsia="宋体" w:cs="宋体"/>
      <w:kern w:val="0"/>
      <w:szCs w:val="21"/>
    </w:rPr>
  </w:style>
  <w:style w:type="paragraph" w:customStyle="1" w:styleId="41">
    <w:name w:val="p141"/>
    <w:basedOn w:val="1"/>
    <w:uiPriority w:val="0"/>
    <w:pPr>
      <w:widowControl/>
      <w:spacing w:line="480" w:lineRule="atLeast"/>
      <w:ind w:firstLine="480"/>
      <w:jc w:val="left"/>
    </w:pPr>
    <w:rPr>
      <w:rFonts w:ascii="宋体" w:hAnsi="宋体" w:eastAsia="宋体" w:cs="宋体"/>
      <w:kern w:val="0"/>
      <w:szCs w:val="21"/>
    </w:rPr>
  </w:style>
  <w:style w:type="character" w:customStyle="1" w:styleId="42">
    <w:name w:val="s81"/>
    <w:basedOn w:val="17"/>
    <w:uiPriority w:val="0"/>
    <w:rPr>
      <w:rFonts w:hint="default" w:ascii="Times New Roman" w:hAnsi="Times New Roman" w:cs="Times New Roman"/>
      <w:color w:val="000000"/>
    </w:rPr>
  </w:style>
  <w:style w:type="paragraph" w:customStyle="1" w:styleId="43">
    <w:name w:val="p151"/>
    <w:basedOn w:val="1"/>
    <w:uiPriority w:val="0"/>
    <w:pPr>
      <w:widowControl/>
      <w:spacing w:line="480" w:lineRule="atLeast"/>
      <w:ind w:firstLine="480"/>
      <w:jc w:val="left"/>
    </w:pPr>
    <w:rPr>
      <w:rFonts w:ascii="宋体" w:hAnsi="宋体" w:eastAsia="宋体" w:cs="宋体"/>
      <w:kern w:val="0"/>
      <w:szCs w:val="21"/>
    </w:rPr>
  </w:style>
  <w:style w:type="paragraph" w:customStyle="1" w:styleId="44">
    <w:name w:val="p161"/>
    <w:basedOn w:val="1"/>
    <w:qFormat/>
    <w:uiPriority w:val="0"/>
    <w:pPr>
      <w:widowControl/>
      <w:spacing w:line="480" w:lineRule="atLeast"/>
      <w:ind w:firstLine="480"/>
      <w:jc w:val="left"/>
    </w:pPr>
    <w:rPr>
      <w:rFonts w:ascii="宋体" w:hAnsi="宋体" w:eastAsia="宋体" w:cs="宋体"/>
      <w:kern w:val="0"/>
      <w:szCs w:val="21"/>
    </w:rPr>
  </w:style>
  <w:style w:type="paragraph" w:customStyle="1" w:styleId="45">
    <w:name w:val="p171"/>
    <w:basedOn w:val="1"/>
    <w:qFormat/>
    <w:uiPriority w:val="0"/>
    <w:pPr>
      <w:widowControl/>
      <w:spacing w:line="480" w:lineRule="atLeast"/>
      <w:ind w:firstLine="480"/>
      <w:jc w:val="left"/>
    </w:pPr>
    <w:rPr>
      <w:rFonts w:ascii="Times New Roman" w:hAnsi="Times New Roman" w:eastAsia="宋体" w:cs="Times New Roman"/>
      <w:kern w:val="0"/>
      <w:szCs w:val="21"/>
    </w:rPr>
  </w:style>
  <w:style w:type="paragraph" w:customStyle="1" w:styleId="46">
    <w:name w:val="p181"/>
    <w:basedOn w:val="1"/>
    <w:qFormat/>
    <w:uiPriority w:val="0"/>
    <w:pPr>
      <w:widowControl/>
      <w:spacing w:line="480" w:lineRule="atLeast"/>
      <w:ind w:firstLine="480"/>
      <w:jc w:val="left"/>
    </w:pPr>
    <w:rPr>
      <w:rFonts w:ascii="Times New Roman" w:hAnsi="Times New Roman" w:eastAsia="宋体" w:cs="Times New Roman"/>
      <w:kern w:val="0"/>
      <w:szCs w:val="21"/>
    </w:rPr>
  </w:style>
  <w:style w:type="paragraph" w:customStyle="1" w:styleId="47">
    <w:name w:val="p191"/>
    <w:basedOn w:val="1"/>
    <w:qFormat/>
    <w:uiPriority w:val="0"/>
    <w:pPr>
      <w:widowControl/>
      <w:spacing w:line="480" w:lineRule="atLeast"/>
      <w:ind w:firstLine="480"/>
      <w:jc w:val="left"/>
    </w:pPr>
    <w:rPr>
      <w:rFonts w:ascii="宋体" w:hAnsi="宋体" w:eastAsia="宋体" w:cs="宋体"/>
      <w:kern w:val="0"/>
      <w:szCs w:val="21"/>
    </w:rPr>
  </w:style>
  <w:style w:type="paragraph" w:customStyle="1" w:styleId="48">
    <w:name w:val="p201"/>
    <w:basedOn w:val="1"/>
    <w:qFormat/>
    <w:uiPriority w:val="0"/>
    <w:pPr>
      <w:widowControl/>
      <w:spacing w:line="480" w:lineRule="atLeast"/>
      <w:ind w:firstLine="480"/>
      <w:jc w:val="left"/>
    </w:pPr>
    <w:rPr>
      <w:rFonts w:ascii="宋体" w:hAnsi="宋体" w:eastAsia="宋体" w:cs="宋体"/>
      <w:kern w:val="0"/>
      <w:szCs w:val="21"/>
    </w:rPr>
  </w:style>
  <w:style w:type="paragraph" w:customStyle="1" w:styleId="49">
    <w:name w:val="p221"/>
    <w:basedOn w:val="1"/>
    <w:qFormat/>
    <w:uiPriority w:val="0"/>
    <w:pPr>
      <w:widowControl/>
      <w:spacing w:line="480" w:lineRule="atLeast"/>
      <w:ind w:firstLine="480"/>
      <w:jc w:val="left"/>
    </w:pPr>
    <w:rPr>
      <w:rFonts w:ascii="宋体" w:hAnsi="宋体" w:eastAsia="宋体" w:cs="宋体"/>
      <w:kern w:val="0"/>
      <w:szCs w:val="21"/>
    </w:rPr>
  </w:style>
  <w:style w:type="paragraph" w:customStyle="1" w:styleId="50">
    <w:name w:val="p231"/>
    <w:basedOn w:val="1"/>
    <w:qFormat/>
    <w:uiPriority w:val="0"/>
    <w:pPr>
      <w:widowControl/>
      <w:spacing w:line="480" w:lineRule="atLeast"/>
      <w:ind w:firstLine="480"/>
      <w:jc w:val="left"/>
    </w:pPr>
    <w:rPr>
      <w:rFonts w:ascii="宋体" w:hAnsi="宋体" w:eastAsia="宋体" w:cs="宋体"/>
      <w:kern w:val="0"/>
      <w:szCs w:val="21"/>
    </w:rPr>
  </w:style>
  <w:style w:type="character" w:customStyle="1" w:styleId="51">
    <w:name w:val="标题 1 字符"/>
    <w:basedOn w:val="17"/>
    <w:link w:val="2"/>
    <w:qFormat/>
    <w:uiPriority w:val="9"/>
    <w:rPr>
      <w:b/>
      <w:bCs/>
      <w:kern w:val="44"/>
      <w:sz w:val="44"/>
      <w:szCs w:val="44"/>
    </w:rPr>
  </w:style>
  <w:style w:type="paragraph" w:customStyle="1" w:styleId="5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53">
    <w:name w:val="批注框文本 字符"/>
    <w:basedOn w:val="17"/>
    <w:link w:val="8"/>
    <w:semiHidden/>
    <w:qFormat/>
    <w:uiPriority w:val="99"/>
    <w:rPr>
      <w:sz w:val="18"/>
      <w:szCs w:val="18"/>
    </w:rPr>
  </w:style>
  <w:style w:type="character" w:customStyle="1" w:styleId="54">
    <w:name w:val="标题 2 字符"/>
    <w:basedOn w:val="17"/>
    <w:link w:val="3"/>
    <w:qFormat/>
    <w:uiPriority w:val="9"/>
    <w:rPr>
      <w:rFonts w:asciiTheme="majorHAnsi" w:hAnsiTheme="majorHAnsi" w:eastAsiaTheme="majorEastAsia" w:cstheme="majorBidi"/>
      <w:b/>
      <w:bCs/>
      <w:sz w:val="32"/>
      <w:szCs w:val="32"/>
    </w:rPr>
  </w:style>
  <w:style w:type="character" w:customStyle="1" w:styleId="55">
    <w:name w:val="标题 3 字符"/>
    <w:basedOn w:val="17"/>
    <w:link w:val="4"/>
    <w:qFormat/>
    <w:uiPriority w:val="9"/>
    <w:rPr>
      <w:b/>
      <w:bCs/>
      <w:sz w:val="32"/>
      <w:szCs w:val="32"/>
    </w:rPr>
  </w:style>
  <w:style w:type="character" w:customStyle="1" w:styleId="56">
    <w:name w:val="case31"/>
    <w:qFormat/>
    <w:uiPriority w:val="0"/>
    <w:rPr>
      <w:rFonts w:hint="default"/>
      <w:sz w:val="21"/>
      <w:szCs w:val="21"/>
    </w:rPr>
  </w:style>
  <w:style w:type="character" w:customStyle="1" w:styleId="57">
    <w:name w:val="正文文本 字符"/>
    <w:basedOn w:val="17"/>
    <w:link w:val="6"/>
    <w:semiHidden/>
    <w:qFormat/>
    <w:uiPriority w:val="99"/>
  </w:style>
  <w:style w:type="character" w:customStyle="1" w:styleId="58">
    <w:name w:val="正文文本首行缩进 字符"/>
    <w:basedOn w:val="57"/>
    <w:link w:val="14"/>
    <w:qFormat/>
    <w:uiPriority w:val="0"/>
    <w:rPr>
      <w:rFonts w:ascii="Calibri" w:hAnsi="Calibri" w:eastAsia="宋体" w:cs="Times New Roman"/>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53CAC-BC9E-4621-ACEE-17A693544541}">
  <ds:schemaRefs/>
</ds:datastoreItem>
</file>

<file path=docProps/app.xml><?xml version="1.0" encoding="utf-8"?>
<Properties xmlns="http://schemas.openxmlformats.org/officeDocument/2006/extended-properties" xmlns:vt="http://schemas.openxmlformats.org/officeDocument/2006/docPropsVTypes">
  <Template>Normal</Template>
  <Pages>9</Pages>
  <Words>4288</Words>
  <Characters>4379</Characters>
  <Lines>36</Lines>
  <Paragraphs>10</Paragraphs>
  <TotalTime>290</TotalTime>
  <ScaleCrop>false</ScaleCrop>
  <LinksUpToDate>false</LinksUpToDate>
  <CharactersWithSpaces>4431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2016-09-06T01:33:00Z</dcterms:created>
  <dc:creator>MichaelLee</dc:creator>
  <cp:lastModifiedBy>徐大熊</cp:lastModifiedBy>
  <dcterms:modified xsi:type="dcterms:W3CDTF">2023-03-21T03:16:37Z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7835F21C4B454875B71928D7CE12688A</vt:lpwstr>
  </property>
</Properties>
</file>